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Arial Narrow" w:hAnsi="Arial Narrow"/>
          <w:sz w:val="20"/>
          <w:szCs w:val="20"/>
        </w:rPr>
      </w:pPr>
      <w:bookmarkStart w:id="0" w:name="_GoBack"/>
      <w:bookmarkEnd w:id="0"/>
    </w:p>
    <w:tbl>
      <w:tblPr>
        <w:tblStyle w:val="5"/>
        <w:tblW w:w="16055" w:type="dxa"/>
        <w:tblInd w:w="-4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1883"/>
        <w:gridCol w:w="5760"/>
        <w:gridCol w:w="6581"/>
        <w:gridCol w:w="10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748" w:type="dxa"/>
            <w:shd w:val="clear" w:color="auto" w:fill="FFFF99"/>
          </w:tcPr>
          <w:p>
            <w:pPr>
              <w:jc w:val="center"/>
              <w:rPr>
                <w:rFonts w:ascii="Arial Narrow" w:hAnsi="Arial Narrow"/>
                <w:b/>
                <w:sz w:val="20"/>
                <w:szCs w:val="20"/>
              </w:rPr>
            </w:pPr>
            <w:r>
              <w:rPr>
                <w:rFonts w:ascii="Arial Narrow" w:hAnsi="Arial Narrow"/>
                <w:b/>
                <w:sz w:val="20"/>
                <w:szCs w:val="20"/>
              </w:rPr>
              <w:t>Număr</w:t>
            </w:r>
          </w:p>
        </w:tc>
        <w:tc>
          <w:tcPr>
            <w:tcW w:w="1883" w:type="dxa"/>
            <w:shd w:val="clear" w:color="auto" w:fill="FFFF99"/>
          </w:tcPr>
          <w:p>
            <w:pPr>
              <w:jc w:val="center"/>
              <w:rPr>
                <w:rFonts w:ascii="Arial Narrow" w:hAnsi="Arial Narrow"/>
                <w:b/>
                <w:sz w:val="20"/>
                <w:szCs w:val="20"/>
              </w:rPr>
            </w:pPr>
            <w:r>
              <w:rPr>
                <w:rFonts w:ascii="Arial Narrow" w:hAnsi="Arial Narrow"/>
                <w:b/>
                <w:sz w:val="20"/>
                <w:szCs w:val="20"/>
              </w:rPr>
              <w:t>Măsură preventivă</w:t>
            </w:r>
          </w:p>
        </w:tc>
        <w:tc>
          <w:tcPr>
            <w:tcW w:w="5760" w:type="dxa"/>
            <w:shd w:val="clear" w:color="auto" w:fill="FFFF99"/>
          </w:tcPr>
          <w:p>
            <w:pPr>
              <w:jc w:val="center"/>
              <w:rPr>
                <w:rFonts w:ascii="Arial Narrow" w:hAnsi="Arial Narrow"/>
                <w:b/>
                <w:sz w:val="20"/>
                <w:szCs w:val="20"/>
              </w:rPr>
            </w:pPr>
            <w:r>
              <w:rPr>
                <w:rFonts w:ascii="Arial Narrow" w:hAnsi="Arial Narrow"/>
                <w:b/>
                <w:sz w:val="20"/>
                <w:szCs w:val="20"/>
              </w:rPr>
              <w:t>Sediul materiei (Enumerarea nu este exhaustivă)</w:t>
            </w:r>
          </w:p>
        </w:tc>
        <w:tc>
          <w:tcPr>
            <w:tcW w:w="6581" w:type="dxa"/>
            <w:shd w:val="clear" w:color="auto" w:fill="FFFF99"/>
          </w:tcPr>
          <w:p>
            <w:pPr>
              <w:jc w:val="center"/>
              <w:rPr>
                <w:rFonts w:ascii="Arial Narrow" w:hAnsi="Arial Narrow"/>
                <w:b/>
                <w:sz w:val="20"/>
                <w:szCs w:val="20"/>
              </w:rPr>
            </w:pPr>
            <w:r>
              <w:rPr>
                <w:rFonts w:ascii="Arial Narrow" w:hAnsi="Arial Narrow"/>
                <w:b/>
                <w:sz w:val="20"/>
                <w:szCs w:val="20"/>
              </w:rPr>
              <w:t>Indicatori de evaluare</w:t>
            </w:r>
            <w:r>
              <w:rPr>
                <w:rStyle w:val="12"/>
                <w:rFonts w:ascii="Arial Narrow" w:hAnsi="Arial Narrow"/>
                <w:b/>
                <w:sz w:val="20"/>
                <w:szCs w:val="20"/>
              </w:rPr>
              <w:footnoteReference w:id="0"/>
            </w:r>
          </w:p>
        </w:tc>
        <w:tc>
          <w:tcPr>
            <w:tcW w:w="1083" w:type="dxa"/>
            <w:shd w:val="clear" w:color="auto" w:fill="FFFF99"/>
          </w:tcPr>
          <w:p>
            <w:pPr>
              <w:jc w:val="center"/>
              <w:rPr>
                <w:rFonts w:ascii="Arial Narrow" w:hAnsi="Arial Narrow"/>
                <w:b/>
                <w:sz w:val="20"/>
                <w:szCs w:val="20"/>
              </w:rPr>
            </w:pPr>
            <w:r>
              <w:rPr>
                <w:rFonts w:ascii="Arial Narrow" w:hAnsi="Arial Narrow"/>
                <w:b/>
                <w:sz w:val="20"/>
                <w:szCs w:val="20"/>
              </w:rPr>
              <w:t>Anul 2022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restart"/>
            <w:shd w:val="clear" w:color="auto" w:fill="auto"/>
          </w:tcPr>
          <w:p>
            <w:pPr>
              <w:pStyle w:val="29"/>
              <w:numPr>
                <w:ilvl w:val="0"/>
                <w:numId w:val="1"/>
              </w:numPr>
              <w:jc w:val="center"/>
              <w:rPr>
                <w:rFonts w:ascii="Arial Narrow" w:hAnsi="Arial Narrow"/>
                <w:sz w:val="20"/>
                <w:szCs w:val="20"/>
              </w:rPr>
            </w:pPr>
          </w:p>
        </w:tc>
        <w:tc>
          <w:tcPr>
            <w:tcW w:w="1883" w:type="dxa"/>
            <w:vMerge w:val="restart"/>
            <w:shd w:val="clear" w:color="auto" w:fill="auto"/>
          </w:tcPr>
          <w:p>
            <w:pPr>
              <w:jc w:val="center"/>
              <w:rPr>
                <w:rFonts w:ascii="Arial Narrow" w:hAnsi="Arial Narrow"/>
                <w:b/>
                <w:sz w:val="20"/>
                <w:szCs w:val="20"/>
              </w:rPr>
            </w:pPr>
            <w:r>
              <w:rPr>
                <w:rFonts w:ascii="Arial Narrow" w:hAnsi="Arial Narrow"/>
                <w:b/>
                <w:sz w:val="20"/>
                <w:szCs w:val="20"/>
              </w:rPr>
              <w:t>Cod etic/deontologic/de conduită</w:t>
            </w:r>
          </w:p>
        </w:tc>
        <w:tc>
          <w:tcPr>
            <w:tcW w:w="5760" w:type="dxa"/>
            <w:vMerge w:val="restart"/>
            <w:shd w:val="clear" w:color="auto" w:fill="auto"/>
          </w:tcPr>
          <w:p>
            <w:pPr>
              <w:jc w:val="both"/>
              <w:rPr>
                <w:rFonts w:ascii="Arial Narrow" w:hAnsi="Arial Narrow"/>
                <w:sz w:val="20"/>
                <w:szCs w:val="20"/>
              </w:rPr>
            </w:pPr>
            <w:r>
              <w:rPr>
                <w:rFonts w:ascii="Arial Narrow" w:hAnsi="Arial Narrow"/>
                <w:sz w:val="20"/>
                <w:szCs w:val="20"/>
              </w:rPr>
              <w:t>Ordonanţa de urgenţă a Guvernului nr. 57/2019 privind Codul administrativ, cu modificările şi completările ulterioare; Ordinul Secretariatului General al Guvernului nr. 600/2018 privind aprobarea Codului controlului intern managerial al entităţilor publice; Legea nr. 303/2004 privind statutul judecătorilor şi procurorilor, republicată, cu modificările şi completările ulterioare; Hotărârea Guvernului nr. 991/2005 pentru aprobarea Codului de etică şi deontologie al poliţistului; Hotărârea Consiliului Superior al Magistraturii nr. 328/2005 pentru aprobarea Codului deontologic al judecătorilor şi procurorilor; Hotărârea Parlamentului nr. 77 din 11 octombrie 2017 privind Codul de conduită al deputaţilor şi senatorilor.</w:t>
            </w:r>
          </w:p>
        </w:tc>
        <w:tc>
          <w:tcPr>
            <w:tcW w:w="6581" w:type="dxa"/>
            <w:shd w:val="clear" w:color="auto" w:fill="auto"/>
          </w:tcPr>
          <w:p>
            <w:pPr>
              <w:numPr>
                <w:ilvl w:val="0"/>
                <w:numId w:val="2"/>
              </w:numPr>
              <w:ind w:left="459" w:hanging="284"/>
              <w:rPr>
                <w:rFonts w:ascii="Arial Narrow" w:hAnsi="Arial Narrow"/>
                <w:iCs/>
                <w:sz w:val="20"/>
                <w:szCs w:val="20"/>
              </w:rPr>
            </w:pPr>
            <w:r>
              <w:rPr>
                <w:rFonts w:ascii="Arial Narrow" w:hAnsi="Arial Narrow"/>
                <w:sz w:val="20"/>
                <w:szCs w:val="20"/>
              </w:rPr>
              <w:t>Număr de sesizări privind încălcări ale codului</w:t>
            </w:r>
          </w:p>
        </w:tc>
        <w:tc>
          <w:tcPr>
            <w:tcW w:w="1083" w:type="dxa"/>
          </w:tcPr>
          <w:p>
            <w:pPr>
              <w:ind w:left="72"/>
              <w:jc w:val="right"/>
              <w:rPr>
                <w:rFonts w:ascii="Arial Narrow" w:hAnsi="Arial Narrow"/>
                <w:iCs/>
                <w:sz w:val="20"/>
                <w:szCs w:val="20"/>
              </w:rPr>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2"/>
              </w:numPr>
              <w:ind w:left="459" w:hanging="284"/>
              <w:rPr>
                <w:rFonts w:ascii="Arial Narrow" w:hAnsi="Arial Narrow"/>
                <w:iCs/>
                <w:sz w:val="20"/>
                <w:szCs w:val="20"/>
              </w:rPr>
            </w:pPr>
            <w:r>
              <w:rPr>
                <w:rFonts w:ascii="Arial Narrow" w:hAnsi="Arial Narrow"/>
                <w:sz w:val="20"/>
                <w:szCs w:val="20"/>
              </w:rPr>
              <w:t>Număr de sesizări soluţionate</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2"/>
              </w:numPr>
              <w:ind w:left="459" w:hanging="284"/>
              <w:rPr>
                <w:rFonts w:ascii="Arial Narrow" w:hAnsi="Arial Narrow"/>
                <w:iCs/>
                <w:sz w:val="20"/>
                <w:szCs w:val="20"/>
              </w:rPr>
            </w:pPr>
            <w:r>
              <w:rPr>
                <w:rFonts w:ascii="Arial Narrow" w:hAnsi="Arial Narrow"/>
                <w:sz w:val="20"/>
                <w:szCs w:val="20"/>
              </w:rPr>
              <w:t>Durata medie a procedurilor</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2"/>
              </w:numPr>
              <w:ind w:left="459" w:hanging="284"/>
              <w:rPr>
                <w:rFonts w:ascii="Arial Narrow" w:hAnsi="Arial Narrow"/>
                <w:iCs/>
                <w:sz w:val="20"/>
                <w:szCs w:val="20"/>
              </w:rPr>
            </w:pPr>
            <w:r>
              <w:rPr>
                <w:rFonts w:ascii="Arial Narrow" w:hAnsi="Arial Narrow"/>
                <w:sz w:val="20"/>
                <w:szCs w:val="20"/>
              </w:rPr>
              <w:t>Număr de decizii prin care s-a confirmat încălcarea codului</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2"/>
              </w:numPr>
              <w:ind w:left="459" w:hanging="284"/>
              <w:rPr>
                <w:rFonts w:ascii="Arial Narrow" w:hAnsi="Arial Narrow"/>
                <w:iCs/>
                <w:sz w:val="20"/>
                <w:szCs w:val="20"/>
              </w:rPr>
            </w:pPr>
            <w:r>
              <w:rPr>
                <w:rFonts w:ascii="Arial Narrow" w:hAnsi="Arial Narrow"/>
                <w:sz w:val="20"/>
                <w:szCs w:val="20"/>
              </w:rPr>
              <w:t>Număr de decizii infirmate în instanţă</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2"/>
              </w:numPr>
              <w:ind w:left="459" w:hanging="284"/>
              <w:rPr>
                <w:rFonts w:ascii="Arial Narrow" w:hAnsi="Arial Narrow"/>
                <w:iCs/>
                <w:sz w:val="20"/>
                <w:szCs w:val="20"/>
              </w:rPr>
            </w:pPr>
            <w:r>
              <w:rPr>
                <w:rFonts w:ascii="Arial Narrow" w:hAnsi="Arial Narrow"/>
                <w:sz w:val="20"/>
                <w:szCs w:val="20"/>
              </w:rPr>
              <w:t>Gradul de cunoaştere de către angajaţi a codului</w:t>
            </w:r>
          </w:p>
        </w:tc>
        <w:tc>
          <w:tcPr>
            <w:tcW w:w="1083" w:type="dxa"/>
          </w:tcPr>
          <w:p>
            <w:pPr>
              <w:jc w:val="right"/>
              <w:rPr>
                <w:rFonts w:hint="default"/>
                <w:lang w:val="ro-RO"/>
              </w:rPr>
            </w:pPr>
            <w:r>
              <w:rPr>
                <w:rFonts w:hint="default" w:ascii="Arial Narrow" w:hAnsi="Arial Narrow"/>
                <w:iCs/>
                <w:sz w:val="20"/>
                <w:szCs w:val="20"/>
                <w:lang w:val="ro-RO"/>
              </w:rPr>
              <w:t>mediu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2"/>
              </w:numPr>
              <w:ind w:left="459" w:hanging="284"/>
              <w:rPr>
                <w:rFonts w:ascii="Arial Narrow" w:hAnsi="Arial Narrow"/>
                <w:iCs/>
                <w:sz w:val="20"/>
                <w:szCs w:val="20"/>
              </w:rPr>
            </w:pPr>
            <w:r>
              <w:rPr>
                <w:rFonts w:ascii="Arial Narrow" w:hAnsi="Arial Narrow"/>
                <w:sz w:val="20"/>
                <w:szCs w:val="20"/>
              </w:rPr>
              <w:t>Număr de persoane care au fost instruite prin intermediul acţiunilor de formare profesională</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restart"/>
            <w:shd w:val="clear" w:color="auto" w:fill="auto"/>
          </w:tcPr>
          <w:p>
            <w:pPr>
              <w:pStyle w:val="29"/>
              <w:numPr>
                <w:ilvl w:val="0"/>
                <w:numId w:val="1"/>
              </w:numPr>
              <w:jc w:val="center"/>
              <w:rPr>
                <w:rFonts w:ascii="Arial Narrow" w:hAnsi="Arial Narrow"/>
                <w:sz w:val="20"/>
                <w:szCs w:val="20"/>
              </w:rPr>
            </w:pPr>
          </w:p>
        </w:tc>
        <w:tc>
          <w:tcPr>
            <w:tcW w:w="1883" w:type="dxa"/>
            <w:vMerge w:val="restart"/>
            <w:shd w:val="clear" w:color="auto" w:fill="auto"/>
          </w:tcPr>
          <w:p>
            <w:pPr>
              <w:jc w:val="center"/>
              <w:rPr>
                <w:rFonts w:ascii="Arial Narrow" w:hAnsi="Arial Narrow"/>
                <w:b/>
                <w:sz w:val="20"/>
                <w:szCs w:val="20"/>
              </w:rPr>
            </w:pPr>
            <w:r>
              <w:rPr>
                <w:rFonts w:ascii="Arial Narrow" w:hAnsi="Arial Narrow"/>
                <w:b/>
                <w:sz w:val="20"/>
                <w:szCs w:val="20"/>
              </w:rPr>
              <w:t>Declararea averilor</w:t>
            </w:r>
          </w:p>
        </w:tc>
        <w:tc>
          <w:tcPr>
            <w:tcW w:w="5760" w:type="dxa"/>
            <w:vMerge w:val="restart"/>
            <w:shd w:val="clear" w:color="auto" w:fill="auto"/>
          </w:tcPr>
          <w:p>
            <w:pPr>
              <w:jc w:val="both"/>
              <w:rPr>
                <w:rFonts w:ascii="Arial Narrow" w:hAnsi="Arial Narrow"/>
                <w:sz w:val="20"/>
                <w:szCs w:val="20"/>
              </w:rPr>
            </w:pPr>
            <w:r>
              <w:rPr>
                <w:rFonts w:ascii="Arial Narrow" w:hAnsi="Arial Narrow"/>
                <w:sz w:val="20"/>
                <w:szCs w:val="20"/>
              </w:rPr>
              <w:t>Ordonanţa de urgenţă a Guvernului nr. 57/2019 privind Codul administrativ, cu modificările şi completările ulterioare; Legea nr. 176/2010 privind integritatea în exercitarea funcţiilor şi demnităţilor publice, pentru modificarea şi completarea Legii nr. 144/2007 privind înfiinţarea, organizarea şi funcţionarea Agenţiei Naţionale de Integritate, precum şi pentru modificarea şi completarea altor acte normative; Legea nr. 161/2003 privind unele măsuri pentru asigurarea transparenţei în exercitarea demnităţilor publice, a funcţiilor publice şi în mediul de afaceri, prevenirea şi sancţionarea corupţiei, cu modificările şi completările ulterioare.</w:t>
            </w:r>
          </w:p>
        </w:tc>
        <w:tc>
          <w:tcPr>
            <w:tcW w:w="6581" w:type="dxa"/>
            <w:shd w:val="clear" w:color="auto" w:fill="auto"/>
          </w:tcPr>
          <w:p>
            <w:pPr>
              <w:numPr>
                <w:ilvl w:val="0"/>
                <w:numId w:val="3"/>
              </w:numPr>
              <w:ind w:left="459" w:hanging="284"/>
              <w:rPr>
                <w:rFonts w:ascii="Arial Narrow" w:hAnsi="Arial Narrow"/>
                <w:iCs/>
                <w:sz w:val="20"/>
                <w:szCs w:val="20"/>
              </w:rPr>
            </w:pPr>
            <w:r>
              <w:rPr>
                <w:rFonts w:ascii="Arial Narrow" w:hAnsi="Arial Narrow"/>
                <w:sz w:val="20"/>
                <w:szCs w:val="20"/>
              </w:rPr>
              <w:t>Număr de persoane care au obligaţia depunerii declaraţiei de avere</w:t>
            </w:r>
          </w:p>
        </w:tc>
        <w:tc>
          <w:tcPr>
            <w:tcW w:w="1083" w:type="dxa"/>
          </w:tcPr>
          <w:p>
            <w:pPr>
              <w:jc w:val="right"/>
              <w:rPr>
                <w:rFonts w:hint="default"/>
                <w:lang w:val="ro-RO"/>
              </w:rPr>
            </w:pPr>
            <w:r>
              <w:rPr>
                <w:rFonts w:hint="default" w:ascii="Arial Narrow" w:hAnsi="Arial Narrow"/>
                <w:iCs/>
                <w:sz w:val="20"/>
                <w:szCs w:val="20"/>
                <w:lang w:val="ro-RO"/>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3"/>
              </w:numPr>
              <w:ind w:left="459" w:hanging="284"/>
              <w:rPr>
                <w:rFonts w:ascii="Arial Narrow" w:hAnsi="Arial Narrow"/>
                <w:iCs/>
                <w:sz w:val="20"/>
                <w:szCs w:val="20"/>
              </w:rPr>
            </w:pPr>
            <w:r>
              <w:rPr>
                <w:rFonts w:ascii="Arial Narrow" w:hAnsi="Arial Narrow"/>
                <w:sz w:val="20"/>
                <w:szCs w:val="20"/>
              </w:rPr>
              <w:t>Număr de persoane care nu au depus în termen declaraţia de avere</w:t>
            </w:r>
          </w:p>
        </w:tc>
        <w:tc>
          <w:tcPr>
            <w:tcW w:w="1083" w:type="dxa"/>
          </w:tcPr>
          <w:p>
            <w:pPr>
              <w:jc w:val="right"/>
              <w:rPr>
                <w:rFonts w:hint="default"/>
              </w:rPr>
            </w:pPr>
            <w:r>
              <w:rPr>
                <w:rFonts w:ascii="Arial Narrow" w:hAnsi="Arial Narrow"/>
                <w:iCs/>
                <w:sz w:val="20"/>
                <w:szCs w:val="20"/>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3"/>
              </w:numPr>
              <w:ind w:left="459" w:hanging="284"/>
              <w:rPr>
                <w:rFonts w:ascii="Arial Narrow" w:hAnsi="Arial Narrow"/>
                <w:iCs/>
                <w:sz w:val="20"/>
                <w:szCs w:val="20"/>
              </w:rPr>
            </w:pPr>
            <w:r>
              <w:rPr>
                <w:rFonts w:ascii="Arial Narrow" w:hAnsi="Arial Narrow"/>
                <w:sz w:val="20"/>
                <w:szCs w:val="20"/>
              </w:rPr>
              <w:t>Număr de sesizări ale ANI</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3"/>
              </w:numPr>
              <w:ind w:left="459" w:hanging="284"/>
              <w:rPr>
                <w:rFonts w:ascii="Arial Narrow" w:hAnsi="Arial Narrow"/>
                <w:iCs/>
                <w:sz w:val="20"/>
                <w:szCs w:val="20"/>
              </w:rPr>
            </w:pPr>
            <w:r>
              <w:rPr>
                <w:rFonts w:ascii="Arial Narrow" w:hAnsi="Arial Narrow"/>
                <w:sz w:val="20"/>
                <w:szCs w:val="20"/>
              </w:rPr>
              <w:t>Număr de decizii ANI privind personalul instituţiei</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3"/>
              </w:numPr>
              <w:ind w:left="459" w:hanging="284"/>
              <w:rPr>
                <w:rFonts w:ascii="Arial Narrow" w:hAnsi="Arial Narrow"/>
                <w:iCs/>
                <w:sz w:val="20"/>
                <w:szCs w:val="20"/>
              </w:rPr>
            </w:pPr>
            <w:r>
              <w:rPr>
                <w:rFonts w:ascii="Arial Narrow" w:hAnsi="Arial Narrow"/>
                <w:sz w:val="20"/>
                <w:szCs w:val="20"/>
              </w:rPr>
              <w:t>Număr de decizii ale ANI puse în aplicare</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3"/>
              </w:numPr>
              <w:ind w:left="459" w:hanging="284"/>
              <w:rPr>
                <w:rFonts w:ascii="Arial Narrow" w:hAnsi="Arial Narrow"/>
                <w:sz w:val="20"/>
                <w:szCs w:val="20"/>
              </w:rPr>
            </w:pPr>
            <w:r>
              <w:rPr>
                <w:rFonts w:ascii="Arial Narrow" w:hAnsi="Arial Narrow"/>
                <w:sz w:val="20"/>
                <w:szCs w:val="20"/>
              </w:rPr>
              <w:t>Număr de consultaţii oferite de persoanele responsabile pentru implementarea prevederilor legale privind declaraţiile de avere şi declaraţiile de interese</w:t>
            </w:r>
          </w:p>
        </w:tc>
        <w:tc>
          <w:tcPr>
            <w:tcW w:w="1083" w:type="dxa"/>
          </w:tcPr>
          <w:p>
            <w:pPr>
              <w:jc w:val="right"/>
              <w:rPr>
                <w:rFonts w:hint="default"/>
              </w:rPr>
            </w:pPr>
            <w:r>
              <w:rPr>
                <w:rFonts w:ascii="Arial Narrow" w:hAnsi="Arial Narrow"/>
                <w:iCs/>
                <w:sz w:val="20"/>
                <w:szCs w:val="20"/>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3"/>
              </w:numPr>
              <w:ind w:left="459" w:hanging="284"/>
              <w:rPr>
                <w:rFonts w:ascii="Arial Narrow" w:hAnsi="Arial Narrow"/>
                <w:iCs/>
                <w:sz w:val="20"/>
                <w:szCs w:val="20"/>
              </w:rPr>
            </w:pPr>
            <w:r>
              <w:rPr>
                <w:rFonts w:ascii="Arial Narrow" w:hAnsi="Arial Narrow"/>
                <w:sz w:val="20"/>
                <w:szCs w:val="20"/>
              </w:rPr>
              <w:t>Gradul de cunoaştere de către angajaţi a normelor privind declararea averilor</w:t>
            </w:r>
          </w:p>
        </w:tc>
        <w:tc>
          <w:tcPr>
            <w:tcW w:w="1083" w:type="dxa"/>
          </w:tcPr>
          <w:p>
            <w:pPr>
              <w:jc w:val="right"/>
            </w:pPr>
            <w:r>
              <w:rPr>
                <w:rFonts w:ascii="Arial Narrow" w:hAnsi="Arial Narrow"/>
                <w:iCs/>
                <w:sz w:val="20"/>
                <w:szCs w:val="20"/>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8" w:type="dxa"/>
            <w:vMerge w:val="restart"/>
            <w:shd w:val="clear" w:color="auto" w:fill="auto"/>
          </w:tcPr>
          <w:p>
            <w:pPr>
              <w:pStyle w:val="29"/>
              <w:numPr>
                <w:ilvl w:val="0"/>
                <w:numId w:val="1"/>
              </w:numPr>
              <w:jc w:val="center"/>
              <w:rPr>
                <w:rFonts w:ascii="Arial Narrow" w:hAnsi="Arial Narrow"/>
                <w:sz w:val="20"/>
                <w:szCs w:val="20"/>
              </w:rPr>
            </w:pPr>
          </w:p>
        </w:tc>
        <w:tc>
          <w:tcPr>
            <w:tcW w:w="1883" w:type="dxa"/>
            <w:vMerge w:val="restart"/>
            <w:shd w:val="clear" w:color="auto" w:fill="auto"/>
          </w:tcPr>
          <w:p>
            <w:pPr>
              <w:jc w:val="center"/>
              <w:rPr>
                <w:rFonts w:ascii="Arial Narrow" w:hAnsi="Arial Narrow"/>
                <w:b/>
                <w:sz w:val="20"/>
                <w:szCs w:val="20"/>
              </w:rPr>
            </w:pPr>
            <w:r>
              <w:rPr>
                <w:rFonts w:ascii="Arial Narrow" w:hAnsi="Arial Narrow"/>
                <w:b/>
                <w:sz w:val="20"/>
                <w:szCs w:val="20"/>
              </w:rPr>
              <w:t>Declararea cadourilor</w:t>
            </w:r>
          </w:p>
        </w:tc>
        <w:tc>
          <w:tcPr>
            <w:tcW w:w="5760" w:type="dxa"/>
            <w:vMerge w:val="restart"/>
            <w:shd w:val="clear" w:color="auto" w:fill="auto"/>
          </w:tcPr>
          <w:p>
            <w:pPr>
              <w:jc w:val="both"/>
              <w:rPr>
                <w:rFonts w:ascii="Arial Narrow" w:hAnsi="Arial Narrow"/>
                <w:sz w:val="20"/>
                <w:szCs w:val="20"/>
              </w:rPr>
            </w:pPr>
            <w:r>
              <w:rPr>
                <w:rFonts w:ascii="Arial Narrow" w:hAnsi="Arial Narrow"/>
                <w:sz w:val="20"/>
                <w:szCs w:val="20"/>
              </w:rPr>
              <w:t>Legea nr. 251/2004 privind unele măsuri referitoare la bunurile primite cu titlu gratuit cu prilejul unor acţiuni de protocol în exercitarea mandatului sau a funcţiei.</w:t>
            </w:r>
          </w:p>
          <w:p>
            <w:pPr>
              <w:jc w:val="center"/>
              <w:rPr>
                <w:rFonts w:ascii="Arial Narrow" w:hAnsi="Arial Narrow"/>
                <w:sz w:val="20"/>
                <w:szCs w:val="20"/>
              </w:rPr>
            </w:pPr>
          </w:p>
        </w:tc>
        <w:tc>
          <w:tcPr>
            <w:tcW w:w="6581" w:type="dxa"/>
            <w:shd w:val="clear" w:color="auto" w:fill="auto"/>
          </w:tcPr>
          <w:p>
            <w:pPr>
              <w:tabs>
                <w:tab w:val="left" w:pos="459"/>
              </w:tabs>
              <w:ind w:left="175"/>
              <w:rPr>
                <w:rFonts w:ascii="Arial Narrow" w:hAnsi="Arial Narrow"/>
                <w:iCs/>
                <w:sz w:val="20"/>
                <w:szCs w:val="20"/>
              </w:rPr>
            </w:pPr>
            <w:r>
              <w:rPr>
                <w:rFonts w:ascii="Arial Narrow" w:hAnsi="Arial Narrow"/>
                <w:iCs/>
                <w:sz w:val="20"/>
                <w:szCs w:val="20"/>
              </w:rPr>
              <w:t>1.</w:t>
            </w:r>
            <w:r>
              <w:rPr>
                <w:rFonts w:ascii="Arial Narrow" w:hAnsi="Arial Narrow"/>
                <w:iCs/>
                <w:sz w:val="20"/>
                <w:szCs w:val="20"/>
              </w:rPr>
              <w:tab/>
            </w:r>
            <w:r>
              <w:rPr>
                <w:rFonts w:ascii="Arial Narrow" w:hAnsi="Arial Narrow"/>
                <w:iCs/>
                <w:sz w:val="20"/>
                <w:szCs w:val="20"/>
              </w:rPr>
              <w:t>Număr de cadouri înregistrate în registru</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pStyle w:val="29"/>
              <w:numPr>
                <w:ilvl w:val="0"/>
                <w:numId w:val="4"/>
              </w:numPr>
              <w:tabs>
                <w:tab w:val="left" w:pos="459"/>
              </w:tabs>
              <w:ind w:left="175" w:firstLine="0"/>
              <w:rPr>
                <w:rFonts w:ascii="Arial Narrow" w:hAnsi="Arial Narrow"/>
                <w:iCs/>
                <w:sz w:val="20"/>
                <w:szCs w:val="20"/>
              </w:rPr>
            </w:pPr>
            <w:r>
              <w:rPr>
                <w:rFonts w:ascii="Arial Narrow" w:hAnsi="Arial Narrow"/>
                <w:sz w:val="20"/>
                <w:szCs w:val="20"/>
              </w:rPr>
              <w:t>Nr. de cadouri publicate pe site-ul instituţiei</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pStyle w:val="29"/>
              <w:numPr>
                <w:ilvl w:val="0"/>
                <w:numId w:val="4"/>
              </w:numPr>
              <w:tabs>
                <w:tab w:val="left" w:pos="459"/>
              </w:tabs>
              <w:ind w:left="175" w:firstLine="0"/>
              <w:rPr>
                <w:rFonts w:ascii="Arial Narrow" w:hAnsi="Arial Narrow"/>
                <w:iCs/>
                <w:sz w:val="20"/>
                <w:szCs w:val="20"/>
              </w:rPr>
            </w:pPr>
            <w:r>
              <w:rPr>
                <w:rFonts w:ascii="Arial Narrow" w:hAnsi="Arial Narrow"/>
                <w:sz w:val="20"/>
                <w:szCs w:val="20"/>
              </w:rPr>
              <w:t>Nr. de cadouri păstrate de angajat</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pStyle w:val="29"/>
              <w:numPr>
                <w:ilvl w:val="0"/>
                <w:numId w:val="4"/>
              </w:numPr>
              <w:tabs>
                <w:tab w:val="left" w:pos="459"/>
              </w:tabs>
              <w:ind w:left="175" w:firstLine="0"/>
              <w:rPr>
                <w:rFonts w:ascii="Arial Narrow" w:hAnsi="Arial Narrow"/>
                <w:iCs/>
                <w:sz w:val="20"/>
                <w:szCs w:val="20"/>
              </w:rPr>
            </w:pPr>
            <w:r>
              <w:rPr>
                <w:rFonts w:ascii="Arial Narrow" w:hAnsi="Arial Narrow"/>
                <w:sz w:val="20"/>
                <w:szCs w:val="20"/>
              </w:rPr>
              <w:t>Valoarea totală a cadourilor primite</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pStyle w:val="29"/>
              <w:numPr>
                <w:ilvl w:val="0"/>
                <w:numId w:val="4"/>
              </w:numPr>
              <w:tabs>
                <w:tab w:val="left" w:pos="459"/>
              </w:tabs>
              <w:ind w:left="522"/>
              <w:rPr>
                <w:rFonts w:ascii="Arial Narrow" w:hAnsi="Arial Narrow"/>
                <w:iCs/>
                <w:sz w:val="20"/>
                <w:szCs w:val="20"/>
              </w:rPr>
            </w:pPr>
            <w:r>
              <w:rPr>
                <w:rFonts w:ascii="Arial Narrow" w:hAnsi="Arial Narrow"/>
                <w:sz w:val="20"/>
                <w:szCs w:val="20"/>
              </w:rPr>
              <w:t>Gradul de cunoaştere de către angajaţi a normelor privind declararea cadourilor</w:t>
            </w:r>
          </w:p>
        </w:tc>
        <w:tc>
          <w:tcPr>
            <w:tcW w:w="1083" w:type="dxa"/>
          </w:tcPr>
          <w:p>
            <w:pPr>
              <w:jc w:val="right"/>
            </w:pPr>
            <w:r>
              <w:rPr>
                <w:rFonts w:ascii="Arial Narrow" w:hAnsi="Arial Narrow"/>
                <w:iCs/>
                <w:sz w:val="20"/>
                <w:szCs w:val="20"/>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pStyle w:val="29"/>
              <w:numPr>
                <w:ilvl w:val="0"/>
                <w:numId w:val="4"/>
              </w:numPr>
              <w:tabs>
                <w:tab w:val="left" w:pos="522"/>
              </w:tabs>
              <w:ind w:left="432" w:hanging="257"/>
              <w:rPr>
                <w:rFonts w:ascii="Arial Narrow" w:hAnsi="Arial Narrow"/>
                <w:iCs/>
                <w:sz w:val="20"/>
                <w:szCs w:val="20"/>
              </w:rPr>
            </w:pPr>
            <w:r>
              <w:rPr>
                <w:rFonts w:ascii="Arial Narrow" w:hAnsi="Arial Narrow"/>
                <w:sz w:val="20"/>
                <w:szCs w:val="20"/>
              </w:rPr>
              <w:t>Număr de persoane care au fost instruite prin intermediul acţiunilor de formare profesională</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restart"/>
            <w:shd w:val="clear" w:color="auto" w:fill="auto"/>
          </w:tcPr>
          <w:p>
            <w:pPr>
              <w:pStyle w:val="29"/>
              <w:numPr>
                <w:ilvl w:val="0"/>
                <w:numId w:val="1"/>
              </w:numPr>
              <w:jc w:val="center"/>
              <w:rPr>
                <w:rFonts w:ascii="Arial Narrow" w:hAnsi="Arial Narrow"/>
                <w:sz w:val="20"/>
                <w:szCs w:val="20"/>
              </w:rPr>
            </w:pPr>
          </w:p>
        </w:tc>
        <w:tc>
          <w:tcPr>
            <w:tcW w:w="1883" w:type="dxa"/>
            <w:vMerge w:val="restart"/>
            <w:shd w:val="clear" w:color="auto" w:fill="auto"/>
          </w:tcPr>
          <w:p>
            <w:pPr>
              <w:jc w:val="center"/>
              <w:rPr>
                <w:rFonts w:ascii="Arial Narrow" w:hAnsi="Arial Narrow"/>
                <w:b/>
                <w:sz w:val="20"/>
                <w:szCs w:val="20"/>
              </w:rPr>
            </w:pPr>
            <w:r>
              <w:rPr>
                <w:rFonts w:ascii="Arial Narrow" w:hAnsi="Arial Narrow"/>
                <w:b/>
                <w:sz w:val="20"/>
                <w:szCs w:val="20"/>
              </w:rPr>
              <w:t>Conflicte de interese</w:t>
            </w:r>
          </w:p>
        </w:tc>
        <w:tc>
          <w:tcPr>
            <w:tcW w:w="5760" w:type="dxa"/>
            <w:vMerge w:val="restart"/>
            <w:shd w:val="clear" w:color="auto" w:fill="auto"/>
          </w:tcPr>
          <w:p>
            <w:pPr>
              <w:jc w:val="both"/>
              <w:rPr>
                <w:rFonts w:ascii="Arial Narrow" w:hAnsi="Arial Narrow"/>
                <w:sz w:val="20"/>
                <w:szCs w:val="20"/>
              </w:rPr>
            </w:pPr>
            <w:r>
              <w:rPr>
                <w:rFonts w:ascii="Arial Narrow" w:hAnsi="Arial Narrow"/>
                <w:sz w:val="20"/>
                <w:szCs w:val="20"/>
              </w:rPr>
              <w:t>Ordonanţa de urgenţă a Guvernului nr. 57/2019 privind Codul administrativ, cu modificările şi completările ulterioare; Legea nr. 176/2010 privind integritatea în exercitarea funcţiilor şi demnităţilor publice, pentru modificarea şi completarea Legii nr. 144/2007 privind înfiinţarea, organizarea şi funcţionarea Agenţiei Naţionale de Integritate, precum şi pentru modificarea şi completarea altor acte normative; Legea nr. 161/2003 privind unele măsuri pentru asigurarea transparenţei în exercitarea demnităţilor publice, a funcţiilor publice şi în mediul de afaceri, prevenirea şi sancţionarea corupţiei, cu modificările şi completările ulterioare; Legea nr. 184/2016 privind instituirea unui mecanism de prevenire a conflictului de interese în procedura de atribuire a contractelor de achiziţie publică; Codul penal.</w:t>
            </w:r>
          </w:p>
        </w:tc>
        <w:tc>
          <w:tcPr>
            <w:tcW w:w="6581" w:type="dxa"/>
            <w:shd w:val="clear" w:color="auto" w:fill="auto"/>
          </w:tcPr>
          <w:p>
            <w:pPr>
              <w:numPr>
                <w:ilvl w:val="0"/>
                <w:numId w:val="5"/>
              </w:numPr>
              <w:ind w:left="459" w:hanging="284"/>
              <w:rPr>
                <w:rFonts w:ascii="Arial Narrow" w:hAnsi="Arial Narrow"/>
                <w:iCs/>
                <w:sz w:val="20"/>
                <w:szCs w:val="20"/>
              </w:rPr>
            </w:pPr>
            <w:r>
              <w:rPr>
                <w:rFonts w:ascii="Arial Narrow" w:hAnsi="Arial Narrow"/>
                <w:sz w:val="20"/>
                <w:szCs w:val="20"/>
              </w:rPr>
              <w:t>Număr de persoane care au obligaţia depunerii declaraţiei de interese</w:t>
            </w:r>
          </w:p>
        </w:tc>
        <w:tc>
          <w:tcPr>
            <w:tcW w:w="1083" w:type="dxa"/>
          </w:tcPr>
          <w:p>
            <w:pPr>
              <w:jc w:val="right"/>
              <w:rPr>
                <w:rFonts w:hint="default"/>
              </w:rPr>
            </w:pPr>
            <w:r>
              <w:rPr>
                <w:rFonts w:ascii="Arial Narrow" w:hAnsi="Arial Narrow"/>
                <w:iCs/>
                <w:sz w:val="20"/>
                <w:szCs w:val="20"/>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pStyle w:val="29"/>
              <w:numPr>
                <w:ilvl w:val="0"/>
                <w:numId w:val="5"/>
              </w:numPr>
              <w:ind w:left="459" w:hanging="284"/>
              <w:rPr>
                <w:rFonts w:ascii="Arial Narrow" w:hAnsi="Arial Narrow"/>
                <w:iCs/>
                <w:sz w:val="20"/>
                <w:szCs w:val="20"/>
              </w:rPr>
            </w:pPr>
            <w:r>
              <w:rPr>
                <w:rFonts w:ascii="Arial Narrow" w:hAnsi="Arial Narrow"/>
                <w:sz w:val="20"/>
                <w:szCs w:val="20"/>
              </w:rPr>
              <w:t>Număr de persoane care nu au depus în termen declaraţia de interese</w:t>
            </w:r>
          </w:p>
        </w:tc>
        <w:tc>
          <w:tcPr>
            <w:tcW w:w="1083" w:type="dxa"/>
          </w:tcPr>
          <w:p>
            <w:pPr>
              <w:jc w:val="right"/>
              <w:rPr>
                <w:rFonts w:hint="default"/>
              </w:rPr>
            </w:pPr>
            <w:r>
              <w:rPr>
                <w:rFonts w:ascii="Arial Narrow" w:hAnsi="Arial Narrow"/>
                <w:iCs/>
                <w:sz w:val="20"/>
                <w:szCs w:val="20"/>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5"/>
              </w:numPr>
              <w:ind w:left="459" w:hanging="284"/>
              <w:rPr>
                <w:rFonts w:ascii="Arial Narrow" w:hAnsi="Arial Narrow"/>
                <w:iCs/>
                <w:sz w:val="20"/>
                <w:szCs w:val="20"/>
              </w:rPr>
            </w:pPr>
            <w:r>
              <w:rPr>
                <w:rFonts w:ascii="Arial Narrow" w:hAnsi="Arial Narrow"/>
                <w:sz w:val="20"/>
                <w:szCs w:val="20"/>
              </w:rPr>
              <w:t>Număr de declaraţii de abţinere</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5"/>
              </w:numPr>
              <w:ind w:left="459" w:hanging="284"/>
              <w:rPr>
                <w:rFonts w:ascii="Arial Narrow" w:hAnsi="Arial Narrow"/>
                <w:iCs/>
                <w:sz w:val="20"/>
                <w:szCs w:val="20"/>
              </w:rPr>
            </w:pPr>
            <w:r>
              <w:rPr>
                <w:rFonts w:ascii="Arial Narrow" w:hAnsi="Arial Narrow"/>
                <w:sz w:val="20"/>
                <w:szCs w:val="20"/>
              </w:rPr>
              <w:t>Număr de situaţii în care superiorul ierarhic a dispus înlocuirea persoanei aflată în situaţia de potenţial conflict de interese</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5"/>
              </w:numPr>
              <w:ind w:left="459" w:hanging="284"/>
              <w:rPr>
                <w:rFonts w:ascii="Arial Narrow" w:hAnsi="Arial Narrow"/>
                <w:iCs/>
                <w:sz w:val="20"/>
                <w:szCs w:val="20"/>
              </w:rPr>
            </w:pPr>
            <w:r>
              <w:rPr>
                <w:rFonts w:ascii="Arial Narrow" w:hAnsi="Arial Narrow"/>
                <w:sz w:val="20"/>
                <w:szCs w:val="20"/>
              </w:rPr>
              <w:t>Număr de sesizări primite de instituţie de la terţe persoane cu privire la existenţa unui conflict de interese</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5"/>
              </w:numPr>
              <w:ind w:left="459" w:hanging="284"/>
              <w:rPr>
                <w:rFonts w:ascii="Arial Narrow" w:hAnsi="Arial Narrow"/>
                <w:iCs/>
                <w:sz w:val="20"/>
                <w:szCs w:val="20"/>
              </w:rPr>
            </w:pPr>
            <w:r>
              <w:rPr>
                <w:rFonts w:ascii="Arial Narrow" w:hAnsi="Arial Narrow"/>
                <w:sz w:val="20"/>
                <w:szCs w:val="20"/>
              </w:rPr>
              <w:t>Număr de decizii ANI prin care s-a constatat starea de conflict de interese</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5"/>
              </w:numPr>
              <w:ind w:left="459" w:hanging="284"/>
              <w:rPr>
                <w:rFonts w:ascii="Arial Narrow" w:hAnsi="Arial Narrow"/>
                <w:iCs/>
                <w:sz w:val="20"/>
                <w:szCs w:val="20"/>
              </w:rPr>
            </w:pPr>
            <w:r>
              <w:rPr>
                <w:rFonts w:ascii="Arial Narrow" w:hAnsi="Arial Narrow"/>
                <w:sz w:val="20"/>
                <w:szCs w:val="20"/>
              </w:rPr>
              <w:t>Gradul de cunoaştere de către angajaţi a normelor privind conflictul de interese</w:t>
            </w:r>
          </w:p>
        </w:tc>
        <w:tc>
          <w:tcPr>
            <w:tcW w:w="1083" w:type="dxa"/>
          </w:tcPr>
          <w:p>
            <w:pPr>
              <w:jc w:val="right"/>
            </w:pPr>
            <w:r>
              <w:rPr>
                <w:rFonts w:ascii="Arial Narrow" w:hAnsi="Arial Narrow"/>
                <w:iCs/>
                <w:sz w:val="20"/>
                <w:szCs w:val="20"/>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5"/>
              </w:numPr>
              <w:ind w:left="459" w:hanging="284"/>
              <w:rPr>
                <w:rFonts w:ascii="Arial Narrow" w:hAnsi="Arial Narrow"/>
                <w:iCs/>
                <w:sz w:val="20"/>
                <w:szCs w:val="20"/>
              </w:rPr>
            </w:pPr>
            <w:r>
              <w:rPr>
                <w:rFonts w:ascii="Arial Narrow" w:hAnsi="Arial Narrow"/>
                <w:sz w:val="20"/>
                <w:szCs w:val="20"/>
              </w:rPr>
              <w:t>Număr de persoane care au fost instruite prin intermediul acţiunilor de formare profesională</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5"/>
              </w:numPr>
              <w:ind w:left="459" w:hanging="284"/>
              <w:rPr>
                <w:rFonts w:ascii="Arial Narrow" w:hAnsi="Arial Narrow"/>
                <w:iCs/>
                <w:sz w:val="20"/>
                <w:szCs w:val="20"/>
              </w:rPr>
            </w:pPr>
            <w:r>
              <w:rPr>
                <w:rFonts w:ascii="Arial Narrow" w:hAnsi="Arial Narrow"/>
                <w:sz w:val="20"/>
                <w:szCs w:val="20"/>
              </w:rPr>
              <w:t>Nr. de proceduri de achiziţie analizate în PREVENT</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5"/>
              </w:numPr>
              <w:ind w:left="459" w:hanging="284"/>
              <w:rPr>
                <w:rFonts w:ascii="Arial Narrow" w:hAnsi="Arial Narrow"/>
                <w:iCs/>
                <w:sz w:val="20"/>
                <w:szCs w:val="20"/>
              </w:rPr>
            </w:pPr>
            <w:r>
              <w:rPr>
                <w:rFonts w:ascii="Arial Narrow" w:hAnsi="Arial Narrow"/>
                <w:sz w:val="20"/>
                <w:szCs w:val="20"/>
              </w:rPr>
              <w:t>Nr. de avertismente de integritate emise</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5"/>
              </w:numPr>
              <w:ind w:left="459" w:hanging="284"/>
              <w:rPr>
                <w:rFonts w:ascii="Arial Narrow" w:hAnsi="Arial Narrow"/>
                <w:iCs/>
                <w:sz w:val="20"/>
                <w:szCs w:val="20"/>
              </w:rPr>
            </w:pPr>
            <w:r>
              <w:rPr>
                <w:rFonts w:ascii="Arial Narrow" w:hAnsi="Arial Narrow"/>
                <w:sz w:val="20"/>
                <w:szCs w:val="20"/>
              </w:rPr>
              <w:t>Nr. de conflicte de interese prevenite prin utilizarea sistemului PREVENT</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restart"/>
            <w:shd w:val="clear" w:color="auto" w:fill="auto"/>
          </w:tcPr>
          <w:p>
            <w:pPr>
              <w:pStyle w:val="29"/>
              <w:numPr>
                <w:ilvl w:val="0"/>
                <w:numId w:val="1"/>
              </w:numPr>
              <w:jc w:val="center"/>
              <w:rPr>
                <w:rFonts w:ascii="Arial Narrow" w:hAnsi="Arial Narrow"/>
                <w:sz w:val="20"/>
                <w:szCs w:val="20"/>
              </w:rPr>
            </w:pPr>
          </w:p>
        </w:tc>
        <w:tc>
          <w:tcPr>
            <w:tcW w:w="1883" w:type="dxa"/>
            <w:vMerge w:val="restart"/>
            <w:shd w:val="clear" w:color="auto" w:fill="auto"/>
          </w:tcPr>
          <w:p>
            <w:pPr>
              <w:jc w:val="center"/>
              <w:rPr>
                <w:rFonts w:ascii="Arial Narrow" w:hAnsi="Arial Narrow"/>
                <w:b/>
                <w:sz w:val="20"/>
                <w:szCs w:val="20"/>
              </w:rPr>
            </w:pPr>
            <w:r>
              <w:rPr>
                <w:rFonts w:ascii="Arial Narrow" w:hAnsi="Arial Narrow"/>
                <w:b/>
                <w:sz w:val="20"/>
                <w:szCs w:val="20"/>
              </w:rPr>
              <w:t>Consilier de etică</w:t>
            </w:r>
          </w:p>
        </w:tc>
        <w:tc>
          <w:tcPr>
            <w:tcW w:w="5760" w:type="dxa"/>
            <w:vMerge w:val="restart"/>
            <w:shd w:val="clear" w:color="auto" w:fill="auto"/>
          </w:tcPr>
          <w:p>
            <w:pPr>
              <w:jc w:val="both"/>
              <w:rPr>
                <w:rFonts w:ascii="Arial Narrow" w:hAnsi="Arial Narrow"/>
                <w:sz w:val="20"/>
                <w:szCs w:val="20"/>
              </w:rPr>
            </w:pPr>
            <w:r>
              <w:rPr>
                <w:rFonts w:ascii="Arial Narrow" w:hAnsi="Arial Narrow"/>
                <w:sz w:val="20"/>
                <w:szCs w:val="20"/>
              </w:rPr>
              <w:t>Ordonanţa de urgenţă a Guvernului nr. 57/2019 privind Codul administrativ, cu modificările şi completările ulterioare.</w:t>
            </w:r>
          </w:p>
        </w:tc>
        <w:tc>
          <w:tcPr>
            <w:tcW w:w="6581" w:type="dxa"/>
            <w:shd w:val="clear" w:color="auto" w:fill="auto"/>
          </w:tcPr>
          <w:p>
            <w:pPr>
              <w:numPr>
                <w:ilvl w:val="0"/>
                <w:numId w:val="6"/>
              </w:numPr>
              <w:ind w:left="459" w:hanging="284"/>
              <w:rPr>
                <w:rFonts w:ascii="Arial Narrow" w:hAnsi="Arial Narrow"/>
                <w:iCs/>
                <w:sz w:val="20"/>
                <w:szCs w:val="20"/>
              </w:rPr>
            </w:pPr>
            <w:r>
              <w:rPr>
                <w:rFonts w:ascii="Arial Narrow" w:hAnsi="Arial Narrow"/>
                <w:sz w:val="20"/>
                <w:szCs w:val="20"/>
              </w:rPr>
              <w:t>Număr de şedinţe de consultare</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pStyle w:val="29"/>
              <w:numPr>
                <w:ilvl w:val="0"/>
                <w:numId w:val="6"/>
              </w:numPr>
              <w:ind w:left="459" w:hanging="284"/>
              <w:rPr>
                <w:rFonts w:ascii="Arial Narrow" w:hAnsi="Arial Narrow"/>
                <w:iCs/>
                <w:sz w:val="20"/>
                <w:szCs w:val="20"/>
              </w:rPr>
            </w:pPr>
            <w:r>
              <w:rPr>
                <w:rFonts w:ascii="Arial Narrow" w:hAnsi="Arial Narrow"/>
                <w:sz w:val="20"/>
                <w:szCs w:val="20"/>
              </w:rPr>
              <w:t>Număr de angajaţi care au solicitat consiliere</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6"/>
              </w:numPr>
              <w:ind w:left="459" w:hanging="284"/>
              <w:rPr>
                <w:rFonts w:ascii="Arial Narrow" w:hAnsi="Arial Narrow"/>
                <w:iCs/>
                <w:sz w:val="20"/>
                <w:szCs w:val="20"/>
              </w:rPr>
            </w:pPr>
            <w:r>
              <w:rPr>
                <w:rFonts w:ascii="Arial Narrow" w:hAnsi="Arial Narrow"/>
                <w:sz w:val="20"/>
                <w:szCs w:val="20"/>
              </w:rPr>
              <w:t>Gradul de cunoaştere de către angajaţi a normelor privind consilierul etic</w:t>
            </w:r>
          </w:p>
        </w:tc>
        <w:tc>
          <w:tcPr>
            <w:tcW w:w="1083" w:type="dxa"/>
          </w:tcPr>
          <w:p>
            <w:pPr>
              <w:jc w:val="right"/>
            </w:pPr>
            <w:r>
              <w:rPr>
                <w:rFonts w:ascii="Arial Narrow" w:hAnsi="Arial Narrow"/>
                <w:iCs/>
                <w:sz w:val="20"/>
                <w:szCs w:val="20"/>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6"/>
              </w:numPr>
              <w:ind w:left="459" w:hanging="284"/>
              <w:rPr>
                <w:rFonts w:ascii="Arial Narrow" w:hAnsi="Arial Narrow"/>
                <w:iCs/>
                <w:sz w:val="20"/>
                <w:szCs w:val="20"/>
              </w:rPr>
            </w:pPr>
            <w:r>
              <w:rPr>
                <w:rFonts w:ascii="Arial Narrow" w:hAnsi="Arial Narrow"/>
                <w:sz w:val="20"/>
                <w:szCs w:val="20"/>
              </w:rPr>
              <w:t>Număr de persoane care au fost instruite prin intermediul acţiunilor de formare profesională</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restart"/>
            <w:shd w:val="clear" w:color="auto" w:fill="auto"/>
          </w:tcPr>
          <w:p>
            <w:pPr>
              <w:pStyle w:val="29"/>
              <w:numPr>
                <w:ilvl w:val="0"/>
                <w:numId w:val="1"/>
              </w:numPr>
              <w:jc w:val="center"/>
              <w:rPr>
                <w:rFonts w:ascii="Arial Narrow" w:hAnsi="Arial Narrow"/>
                <w:sz w:val="20"/>
                <w:szCs w:val="20"/>
              </w:rPr>
            </w:pPr>
          </w:p>
        </w:tc>
        <w:tc>
          <w:tcPr>
            <w:tcW w:w="1883" w:type="dxa"/>
            <w:vMerge w:val="restart"/>
            <w:shd w:val="clear" w:color="auto" w:fill="auto"/>
          </w:tcPr>
          <w:p>
            <w:pPr>
              <w:jc w:val="center"/>
              <w:rPr>
                <w:rFonts w:ascii="Arial Narrow" w:hAnsi="Arial Narrow"/>
                <w:sz w:val="20"/>
                <w:szCs w:val="20"/>
              </w:rPr>
            </w:pPr>
            <w:r>
              <w:rPr>
                <w:rFonts w:ascii="Arial Narrow" w:hAnsi="Arial Narrow"/>
                <w:b/>
                <w:sz w:val="20"/>
                <w:szCs w:val="20"/>
              </w:rPr>
              <w:t>Incompatibilităţi</w:t>
            </w:r>
          </w:p>
        </w:tc>
        <w:tc>
          <w:tcPr>
            <w:tcW w:w="5760" w:type="dxa"/>
            <w:vMerge w:val="restart"/>
            <w:shd w:val="clear" w:color="auto" w:fill="auto"/>
          </w:tcPr>
          <w:p>
            <w:pPr>
              <w:jc w:val="both"/>
              <w:rPr>
                <w:rFonts w:ascii="Arial Narrow" w:hAnsi="Arial Narrow"/>
                <w:sz w:val="20"/>
                <w:szCs w:val="20"/>
              </w:rPr>
            </w:pPr>
            <w:r>
              <w:rPr>
                <w:rFonts w:ascii="Arial Narrow" w:hAnsi="Arial Narrow"/>
                <w:sz w:val="20"/>
                <w:szCs w:val="20"/>
              </w:rPr>
              <w:t>Ordonanţa de urgenţă a Guvernului nr. 57/2019 privind Codul administrativ, cu modificările şi completările ulterioare; Legea nr. 176/2010 privind integritatea în exercitarea funcţiilor şi demnităţilor publice, pentru modificarea şi completarea Legii nr. 144/2007 privind înfiinţarea, organizarea şi funcţionarea Agenţiei Naţionale de Integritate, precum şi pentru modificarea şi completarea altor acte normative; Legea nr. 161/2003 privind unele măsuri pentru asigurarea transparenţei în exercitarea demnităţilor publice, a funcţiilor publice şi în mediul de afaceri, prevenirea şi sancţionarea corupţiei, cu modificările şi completările ulterioare.</w:t>
            </w:r>
          </w:p>
        </w:tc>
        <w:tc>
          <w:tcPr>
            <w:tcW w:w="6581" w:type="dxa"/>
            <w:shd w:val="clear" w:color="auto" w:fill="auto"/>
          </w:tcPr>
          <w:p>
            <w:pPr>
              <w:numPr>
                <w:ilvl w:val="0"/>
                <w:numId w:val="7"/>
              </w:numPr>
              <w:ind w:left="459" w:hanging="284"/>
              <w:rPr>
                <w:rFonts w:ascii="Arial Narrow" w:hAnsi="Arial Narrow"/>
                <w:iCs/>
                <w:sz w:val="20"/>
                <w:szCs w:val="20"/>
              </w:rPr>
            </w:pPr>
            <w:r>
              <w:rPr>
                <w:rFonts w:ascii="Arial Narrow" w:hAnsi="Arial Narrow"/>
                <w:sz w:val="20"/>
                <w:szCs w:val="20"/>
              </w:rPr>
              <w:t>Număr de persoane aflate în stare de incompatibilitate</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pStyle w:val="29"/>
              <w:numPr>
                <w:ilvl w:val="0"/>
                <w:numId w:val="7"/>
              </w:numPr>
              <w:ind w:left="459" w:hanging="284"/>
              <w:rPr>
                <w:rFonts w:ascii="Arial Narrow" w:hAnsi="Arial Narrow"/>
                <w:iCs/>
                <w:sz w:val="20"/>
                <w:szCs w:val="20"/>
              </w:rPr>
            </w:pPr>
            <w:r>
              <w:rPr>
                <w:rFonts w:ascii="Arial Narrow" w:hAnsi="Arial Narrow"/>
                <w:sz w:val="20"/>
                <w:szCs w:val="20"/>
              </w:rPr>
              <w:t>Număr de sesizări ale ANI formulate de către instituţie</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7"/>
              </w:numPr>
              <w:ind w:left="459" w:hanging="284"/>
              <w:rPr>
                <w:rFonts w:ascii="Arial Narrow" w:hAnsi="Arial Narrow"/>
                <w:iCs/>
                <w:sz w:val="20"/>
                <w:szCs w:val="20"/>
              </w:rPr>
            </w:pPr>
            <w:r>
              <w:rPr>
                <w:rFonts w:ascii="Arial Narrow" w:hAnsi="Arial Narrow"/>
                <w:sz w:val="20"/>
                <w:szCs w:val="20"/>
              </w:rPr>
              <w:t>Număr de sesizări primite de instituţie de la terţe persoane cu privire la existenţa unei incompatibilităţi</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7"/>
              </w:numPr>
              <w:ind w:left="459" w:hanging="284"/>
              <w:rPr>
                <w:rFonts w:ascii="Arial Narrow" w:hAnsi="Arial Narrow"/>
                <w:iCs/>
                <w:sz w:val="20"/>
                <w:szCs w:val="20"/>
              </w:rPr>
            </w:pPr>
            <w:r>
              <w:rPr>
                <w:rFonts w:ascii="Arial Narrow" w:hAnsi="Arial Narrow"/>
                <w:sz w:val="20"/>
                <w:szCs w:val="20"/>
              </w:rPr>
              <w:t>Număr de decizii ale ANI cu privire la constatarea unor incompatibilităţi indiferent de calea de sesizare</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7"/>
              </w:numPr>
              <w:ind w:left="459" w:hanging="284"/>
              <w:rPr>
                <w:rFonts w:ascii="Arial Narrow" w:hAnsi="Arial Narrow"/>
                <w:iCs/>
                <w:sz w:val="20"/>
                <w:szCs w:val="20"/>
              </w:rPr>
            </w:pPr>
            <w:r>
              <w:rPr>
                <w:rFonts w:ascii="Arial Narrow" w:hAnsi="Arial Narrow"/>
                <w:sz w:val="20"/>
                <w:szCs w:val="20"/>
              </w:rPr>
              <w:t>Număr de decizii confirmate de instanţă</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7"/>
              </w:numPr>
              <w:ind w:left="459" w:hanging="284"/>
              <w:rPr>
                <w:rFonts w:ascii="Arial Narrow" w:hAnsi="Arial Narrow"/>
                <w:iCs/>
                <w:sz w:val="20"/>
                <w:szCs w:val="20"/>
              </w:rPr>
            </w:pPr>
            <w:r>
              <w:rPr>
                <w:rFonts w:ascii="Arial Narrow" w:hAnsi="Arial Narrow"/>
                <w:sz w:val="20"/>
                <w:szCs w:val="20"/>
              </w:rPr>
              <w:t>Gradul de cunoaştere de către angajaţi a normelor privind incompatibilităţile</w:t>
            </w:r>
          </w:p>
        </w:tc>
        <w:tc>
          <w:tcPr>
            <w:tcW w:w="1083" w:type="dxa"/>
          </w:tcPr>
          <w:p>
            <w:pPr>
              <w:jc w:val="right"/>
            </w:pPr>
            <w:r>
              <w:rPr>
                <w:rFonts w:ascii="Arial Narrow" w:hAnsi="Arial Narrow"/>
                <w:iCs/>
                <w:sz w:val="20"/>
                <w:szCs w:val="20"/>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7"/>
              </w:numPr>
              <w:ind w:left="459" w:hanging="284"/>
              <w:rPr>
                <w:rFonts w:ascii="Arial Narrow" w:hAnsi="Arial Narrow"/>
                <w:sz w:val="20"/>
                <w:szCs w:val="20"/>
              </w:rPr>
            </w:pPr>
            <w:r>
              <w:rPr>
                <w:rFonts w:ascii="Arial Narrow" w:hAnsi="Arial Narrow"/>
                <w:sz w:val="20"/>
                <w:szCs w:val="20"/>
              </w:rPr>
              <w:t>Număr de persoane care au fost instruite prin intermediul acţiunilor de formare profesională</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restart"/>
            <w:shd w:val="clear" w:color="auto" w:fill="auto"/>
          </w:tcPr>
          <w:p>
            <w:pPr>
              <w:pStyle w:val="29"/>
              <w:numPr>
                <w:ilvl w:val="0"/>
                <w:numId w:val="1"/>
              </w:numPr>
              <w:jc w:val="center"/>
              <w:rPr>
                <w:rFonts w:ascii="Arial Narrow" w:hAnsi="Arial Narrow"/>
                <w:sz w:val="20"/>
                <w:szCs w:val="20"/>
              </w:rPr>
            </w:pPr>
          </w:p>
        </w:tc>
        <w:tc>
          <w:tcPr>
            <w:tcW w:w="1883" w:type="dxa"/>
            <w:vMerge w:val="restart"/>
            <w:shd w:val="clear" w:color="auto" w:fill="auto"/>
          </w:tcPr>
          <w:p>
            <w:pPr>
              <w:jc w:val="center"/>
              <w:rPr>
                <w:rFonts w:ascii="Arial Narrow" w:hAnsi="Arial Narrow"/>
                <w:b/>
                <w:sz w:val="20"/>
                <w:szCs w:val="20"/>
              </w:rPr>
            </w:pPr>
            <w:r>
              <w:rPr>
                <w:rFonts w:ascii="Arial Narrow" w:hAnsi="Arial Narrow"/>
                <w:b/>
                <w:sz w:val="20"/>
                <w:szCs w:val="20"/>
              </w:rPr>
              <w:t>Transparenţă în procesul decizional</w:t>
            </w:r>
          </w:p>
        </w:tc>
        <w:tc>
          <w:tcPr>
            <w:tcW w:w="5760" w:type="dxa"/>
            <w:vMerge w:val="restart"/>
            <w:shd w:val="clear" w:color="auto" w:fill="auto"/>
          </w:tcPr>
          <w:p>
            <w:pPr>
              <w:jc w:val="both"/>
              <w:rPr>
                <w:rFonts w:ascii="Arial Narrow" w:hAnsi="Arial Narrow"/>
                <w:sz w:val="20"/>
                <w:szCs w:val="20"/>
              </w:rPr>
            </w:pPr>
            <w:r>
              <w:rPr>
                <w:rFonts w:ascii="Arial Narrow" w:hAnsi="Arial Narrow"/>
                <w:sz w:val="20"/>
                <w:szCs w:val="20"/>
              </w:rPr>
              <w:t>Legea nr. 52/2003 privind transparenţa decizională în administraţia publică, cu modificările şi completările ulterioare; Ordonanţa de urgenţă a Guvernului nr. 57/2019 privind Codul administrativ, cu modificările şi completările ulterioare.</w:t>
            </w:r>
          </w:p>
        </w:tc>
        <w:tc>
          <w:tcPr>
            <w:tcW w:w="6581" w:type="dxa"/>
            <w:shd w:val="clear" w:color="auto" w:fill="auto"/>
          </w:tcPr>
          <w:p>
            <w:pPr>
              <w:numPr>
                <w:ilvl w:val="0"/>
                <w:numId w:val="8"/>
              </w:numPr>
              <w:tabs>
                <w:tab w:val="left" w:pos="447"/>
              </w:tabs>
              <w:ind w:left="600" w:hanging="425"/>
              <w:rPr>
                <w:rFonts w:ascii="Arial Narrow" w:hAnsi="Arial Narrow"/>
                <w:iCs/>
                <w:sz w:val="20"/>
                <w:szCs w:val="20"/>
              </w:rPr>
            </w:pPr>
            <w:r>
              <w:rPr>
                <w:rFonts w:ascii="Arial Narrow" w:hAnsi="Arial Narrow"/>
                <w:sz w:val="20"/>
                <w:szCs w:val="20"/>
              </w:rPr>
              <w:t>Număr de proiecte de acte normative adoptate</w:t>
            </w:r>
          </w:p>
        </w:tc>
        <w:tc>
          <w:tcPr>
            <w:tcW w:w="1083" w:type="dxa"/>
          </w:tcPr>
          <w:p>
            <w:pPr>
              <w:jc w:val="right"/>
              <w:rPr>
                <w:rFonts w:hint="default"/>
              </w:rPr>
            </w:pPr>
            <w:r>
              <w:rPr>
                <w:rFonts w:ascii="Arial Narrow" w:hAnsi="Arial Narrow"/>
                <w:iCs/>
                <w:sz w:val="20"/>
                <w:szCs w:val="20"/>
              </w:rPr>
              <w:t>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8"/>
              </w:numPr>
              <w:tabs>
                <w:tab w:val="left" w:pos="447"/>
              </w:tabs>
              <w:ind w:left="600" w:hanging="425"/>
              <w:rPr>
                <w:rFonts w:ascii="Arial Narrow" w:hAnsi="Arial Narrow"/>
                <w:iCs/>
                <w:sz w:val="20"/>
                <w:szCs w:val="20"/>
              </w:rPr>
            </w:pPr>
            <w:r>
              <w:rPr>
                <w:rFonts w:ascii="Arial Narrow" w:hAnsi="Arial Narrow"/>
                <w:sz w:val="20"/>
                <w:szCs w:val="20"/>
              </w:rPr>
              <w:t>Număr de anunţuri publice privind proiectele de acte normative</w:t>
            </w:r>
          </w:p>
        </w:tc>
        <w:tc>
          <w:tcPr>
            <w:tcW w:w="1083" w:type="dxa"/>
          </w:tcPr>
          <w:p>
            <w:pPr>
              <w:jc w:val="right"/>
              <w:rPr>
                <w:rFonts w:hint="default"/>
              </w:rPr>
            </w:pPr>
            <w:r>
              <w:rPr>
                <w:rFonts w:ascii="Arial Narrow" w:hAnsi="Arial Narrow"/>
                <w:iCs/>
                <w:sz w:val="20"/>
                <w:szCs w:val="20"/>
              </w:rPr>
              <w:t>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8"/>
              </w:numPr>
              <w:tabs>
                <w:tab w:val="left" w:pos="447"/>
              </w:tabs>
              <w:ind w:left="432" w:hanging="270"/>
              <w:rPr>
                <w:rFonts w:ascii="Arial Narrow" w:hAnsi="Arial Narrow"/>
                <w:iCs/>
                <w:sz w:val="20"/>
                <w:szCs w:val="20"/>
              </w:rPr>
            </w:pPr>
            <w:r>
              <w:rPr>
                <w:rFonts w:ascii="Arial Narrow" w:hAnsi="Arial Narrow"/>
                <w:sz w:val="20"/>
                <w:szCs w:val="20"/>
              </w:rPr>
              <w:t>Număr de recomandări transmise de societatea civilă în procesul de transparenţă decizională asigurat pentru iniţierea, modificarea sau completarea unor acte normative</w:t>
            </w:r>
          </w:p>
        </w:tc>
        <w:tc>
          <w:tcPr>
            <w:tcW w:w="1083" w:type="dxa"/>
          </w:tcPr>
          <w:p>
            <w:pPr>
              <w:jc w:val="right"/>
              <w:rPr>
                <w:rFonts w:hint="default"/>
              </w:rPr>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8"/>
              </w:numPr>
              <w:tabs>
                <w:tab w:val="left" w:pos="447"/>
              </w:tabs>
              <w:ind w:left="432" w:hanging="257"/>
              <w:rPr>
                <w:rFonts w:ascii="Arial Narrow" w:hAnsi="Arial Narrow"/>
                <w:iCs/>
                <w:sz w:val="20"/>
                <w:szCs w:val="20"/>
              </w:rPr>
            </w:pPr>
            <w:r>
              <w:rPr>
                <w:rFonts w:ascii="Arial Narrow" w:hAnsi="Arial Narrow"/>
                <w:iCs/>
                <w:sz w:val="20"/>
                <w:szCs w:val="20"/>
              </w:rPr>
              <w:t>Gradul de acceptare şi preluare al recomandărilor formulate de societatea civilă cu privire la proiectele de acte normative supuse consultării publice (ca procent între numărul total de recomandări transmise şi numărul de propuneri efectiv preluate)</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8"/>
              </w:numPr>
              <w:tabs>
                <w:tab w:val="left" w:pos="447"/>
              </w:tabs>
              <w:ind w:left="432" w:hanging="257"/>
              <w:rPr>
                <w:rFonts w:ascii="Arial Narrow" w:hAnsi="Arial Narrow"/>
                <w:iCs/>
                <w:sz w:val="20"/>
                <w:szCs w:val="20"/>
              </w:rPr>
            </w:pPr>
            <w:r>
              <w:rPr>
                <w:rFonts w:ascii="Arial Narrow" w:hAnsi="Arial Narrow"/>
                <w:sz w:val="20"/>
                <w:szCs w:val="20"/>
              </w:rPr>
              <w:t>Număr de proiecte de acte normative modificate în urma procesului de consultare</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8"/>
              </w:numPr>
              <w:tabs>
                <w:tab w:val="left" w:pos="447"/>
              </w:tabs>
              <w:ind w:left="600" w:hanging="425"/>
              <w:rPr>
                <w:rFonts w:ascii="Arial Narrow" w:hAnsi="Arial Narrow"/>
                <w:iCs/>
                <w:sz w:val="20"/>
                <w:szCs w:val="20"/>
              </w:rPr>
            </w:pPr>
            <w:r>
              <w:rPr>
                <w:rFonts w:ascii="Arial Narrow" w:hAnsi="Arial Narrow"/>
                <w:sz w:val="20"/>
                <w:szCs w:val="20"/>
              </w:rPr>
              <w:t>Număr de şedinţe publice organizate la iniţiativa instituţiei</w:t>
            </w:r>
          </w:p>
        </w:tc>
        <w:tc>
          <w:tcPr>
            <w:tcW w:w="1083" w:type="dxa"/>
          </w:tcPr>
          <w:p>
            <w:pPr>
              <w:jc w:val="right"/>
              <w:rPr>
                <w:rFonts w:hint="default"/>
              </w:rPr>
            </w:pPr>
            <w:r>
              <w:rPr>
                <w:rFonts w:ascii="Arial Narrow" w:hAnsi="Arial Narrow"/>
                <w:iCs/>
                <w:sz w:val="20"/>
                <w:szCs w:val="20"/>
              </w:rPr>
              <w:t>1</w:t>
            </w:r>
            <w:r>
              <w:rPr>
                <w:rFonts w:ascii="Arial Narrow" w:hAnsi="Arial Narrow"/>
                <w:iCs/>
                <w:sz w:val="20"/>
                <w:szCs w:val="20"/>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8"/>
              </w:numPr>
              <w:tabs>
                <w:tab w:val="left" w:pos="447"/>
              </w:tabs>
              <w:ind w:left="600" w:hanging="425"/>
              <w:rPr>
                <w:rFonts w:ascii="Arial Narrow" w:hAnsi="Arial Narrow"/>
                <w:iCs/>
                <w:sz w:val="20"/>
                <w:szCs w:val="20"/>
              </w:rPr>
            </w:pPr>
            <w:r>
              <w:rPr>
                <w:rFonts w:ascii="Arial Narrow" w:hAnsi="Arial Narrow"/>
                <w:sz w:val="20"/>
                <w:szCs w:val="20"/>
              </w:rPr>
              <w:t>Număr dezbateri publice organizate</w:t>
            </w:r>
          </w:p>
        </w:tc>
        <w:tc>
          <w:tcPr>
            <w:tcW w:w="1083" w:type="dxa"/>
          </w:tcPr>
          <w:p>
            <w:pPr>
              <w:jc w:val="right"/>
              <w:rPr>
                <w:rFonts w:hint="default"/>
              </w:rPr>
            </w:pPr>
            <w:r>
              <w:rPr>
                <w:rFonts w:ascii="Arial Narrow" w:hAnsi="Arial Narrow"/>
                <w:iCs/>
                <w:sz w:val="20"/>
                <w:szCs w:val="20"/>
              </w:rPr>
              <w:t>1</w:t>
            </w:r>
            <w:r>
              <w:rPr>
                <w:rFonts w:ascii="Arial Narrow" w:hAnsi="Arial Narrow"/>
                <w:iCs/>
                <w:sz w:val="20"/>
                <w:szCs w:val="20"/>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8"/>
              </w:numPr>
              <w:tabs>
                <w:tab w:val="left" w:pos="447"/>
              </w:tabs>
              <w:ind w:left="600" w:hanging="425"/>
              <w:rPr>
                <w:rFonts w:ascii="Arial Narrow" w:hAnsi="Arial Narrow"/>
                <w:iCs/>
                <w:sz w:val="20"/>
                <w:szCs w:val="20"/>
              </w:rPr>
            </w:pPr>
            <w:r>
              <w:rPr>
                <w:rFonts w:ascii="Arial Narrow" w:hAnsi="Arial Narrow"/>
                <w:sz w:val="20"/>
                <w:szCs w:val="20"/>
              </w:rPr>
              <w:t>Număr de participanţi la şedinţele publice</w:t>
            </w:r>
          </w:p>
        </w:tc>
        <w:tc>
          <w:tcPr>
            <w:tcW w:w="1083" w:type="dxa"/>
          </w:tcPr>
          <w:p>
            <w:pPr>
              <w:jc w:val="right"/>
              <w:rPr>
                <w:rFonts w:hint="default"/>
              </w:rPr>
            </w:pPr>
            <w:r>
              <w:rPr>
                <w:rFonts w:ascii="Arial Narrow" w:hAnsi="Arial Narrow"/>
                <w:iCs/>
                <w:sz w:val="20"/>
                <w:szCs w:val="20"/>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8"/>
              </w:numPr>
              <w:tabs>
                <w:tab w:val="left" w:pos="447"/>
              </w:tabs>
              <w:ind w:left="600" w:hanging="425"/>
              <w:rPr>
                <w:rFonts w:ascii="Arial Narrow" w:hAnsi="Arial Narrow"/>
                <w:iCs/>
                <w:sz w:val="20"/>
                <w:szCs w:val="20"/>
              </w:rPr>
            </w:pPr>
            <w:r>
              <w:rPr>
                <w:rFonts w:ascii="Arial Narrow" w:hAnsi="Arial Narrow"/>
                <w:sz w:val="20"/>
                <w:szCs w:val="20"/>
              </w:rPr>
              <w:t>Număr de şedinţe publice organizate la solicitarea societăţii civile</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8"/>
              </w:numPr>
              <w:tabs>
                <w:tab w:val="left" w:pos="447"/>
              </w:tabs>
              <w:ind w:left="600" w:hanging="425"/>
              <w:rPr>
                <w:rFonts w:ascii="Arial Narrow" w:hAnsi="Arial Narrow"/>
                <w:iCs/>
                <w:sz w:val="20"/>
                <w:szCs w:val="20"/>
              </w:rPr>
            </w:pPr>
            <w:r>
              <w:rPr>
                <w:rFonts w:ascii="Arial Narrow" w:hAnsi="Arial Narrow"/>
                <w:sz w:val="20"/>
                <w:szCs w:val="20"/>
              </w:rPr>
              <w:t>Număr de minute publicate, realizate la şedinţele publice</w:t>
            </w:r>
          </w:p>
        </w:tc>
        <w:tc>
          <w:tcPr>
            <w:tcW w:w="1083" w:type="dxa"/>
          </w:tcPr>
          <w:p>
            <w:pPr>
              <w:jc w:val="right"/>
              <w:rPr>
                <w:rFonts w:hint="default"/>
              </w:rPr>
            </w:pPr>
            <w:r>
              <w:rPr>
                <w:rFonts w:ascii="Arial Narrow" w:hAnsi="Arial Narrow"/>
                <w:iCs/>
                <w:sz w:val="20"/>
                <w:szCs w:val="20"/>
              </w:rPr>
              <w:t>1</w:t>
            </w:r>
            <w:r>
              <w:rPr>
                <w:rFonts w:ascii="Arial Narrow" w:hAnsi="Arial Narrow"/>
                <w:iCs/>
                <w:sz w:val="20"/>
                <w:szCs w:val="20"/>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8"/>
              </w:numPr>
              <w:tabs>
                <w:tab w:val="left" w:pos="447"/>
              </w:tabs>
              <w:ind w:left="432" w:hanging="257"/>
              <w:rPr>
                <w:rFonts w:ascii="Arial Narrow" w:hAnsi="Arial Narrow"/>
                <w:iCs/>
                <w:sz w:val="20"/>
                <w:szCs w:val="20"/>
              </w:rPr>
            </w:pPr>
            <w:r>
              <w:rPr>
                <w:rFonts w:ascii="Arial Narrow" w:hAnsi="Arial Narrow"/>
                <w:sz w:val="20"/>
                <w:szCs w:val="20"/>
              </w:rPr>
              <w:t>Număr de plângeri în justiţie privind nerespectarea prevederilor legale de către instituţie</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8"/>
              </w:numPr>
              <w:tabs>
                <w:tab w:val="left" w:pos="447"/>
              </w:tabs>
              <w:ind w:left="432" w:hanging="257"/>
              <w:rPr>
                <w:rFonts w:ascii="Arial Narrow" w:hAnsi="Arial Narrow"/>
                <w:iCs/>
                <w:sz w:val="20"/>
                <w:szCs w:val="20"/>
              </w:rPr>
            </w:pPr>
            <w:r>
              <w:rPr>
                <w:rFonts w:ascii="Arial Narrow" w:hAnsi="Arial Narrow"/>
                <w:sz w:val="20"/>
                <w:szCs w:val="20"/>
              </w:rPr>
              <w:t>Număr de persoane care au fost instruite prin intermediul acţiunilor de formare profesională</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8"/>
              </w:numPr>
              <w:tabs>
                <w:tab w:val="left" w:pos="447"/>
              </w:tabs>
              <w:ind w:left="432" w:hanging="257"/>
              <w:rPr>
                <w:rFonts w:ascii="Arial Narrow" w:hAnsi="Arial Narrow"/>
                <w:iCs/>
                <w:sz w:val="20"/>
                <w:szCs w:val="20"/>
              </w:rPr>
            </w:pPr>
            <w:r>
              <w:rPr>
                <w:rFonts w:ascii="Arial Narrow" w:hAnsi="Arial Narrow"/>
                <w:sz w:val="20"/>
                <w:szCs w:val="20"/>
              </w:rPr>
              <w:t>Număr de rapoarte anuale privind transparenţa decizională disponibile pe site-ul instituţiei;</w:t>
            </w:r>
          </w:p>
        </w:tc>
        <w:tc>
          <w:tcPr>
            <w:tcW w:w="1083" w:type="dxa"/>
          </w:tcPr>
          <w:p>
            <w:pPr>
              <w:jc w:val="right"/>
            </w:pPr>
            <w:r>
              <w:rPr>
                <w:rFonts w:ascii="Arial Narrow" w:hAnsi="Arial Narrow"/>
                <w:iCs/>
                <w:sz w:val="20"/>
                <w:szCs w:val="20"/>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8"/>
              </w:numPr>
              <w:tabs>
                <w:tab w:val="left" w:pos="447"/>
              </w:tabs>
              <w:ind w:left="600" w:hanging="425"/>
              <w:rPr>
                <w:rFonts w:ascii="Arial Narrow" w:hAnsi="Arial Narrow"/>
                <w:iCs/>
                <w:sz w:val="20"/>
                <w:szCs w:val="20"/>
              </w:rPr>
            </w:pPr>
            <w:r>
              <w:rPr>
                <w:rFonts w:ascii="Arial Narrow" w:hAnsi="Arial Narrow"/>
                <w:sz w:val="20"/>
                <w:szCs w:val="20"/>
              </w:rPr>
              <w:t>Număr de demnitari înscrişi în Registrul Unic al Transparenţei Intereselor</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8"/>
              </w:numPr>
              <w:tabs>
                <w:tab w:val="left" w:pos="447"/>
              </w:tabs>
              <w:ind w:left="432" w:hanging="257"/>
              <w:rPr>
                <w:rFonts w:ascii="Arial Narrow" w:hAnsi="Arial Narrow"/>
                <w:iCs/>
                <w:sz w:val="20"/>
                <w:szCs w:val="20"/>
              </w:rPr>
            </w:pPr>
            <w:r>
              <w:rPr>
                <w:rFonts w:ascii="Arial Narrow" w:hAnsi="Arial Narrow"/>
                <w:sz w:val="20"/>
                <w:szCs w:val="20"/>
              </w:rPr>
              <w:t>Număr de întâlniri raportate în RUTI de către factorii de decizie vizaţi de registru</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8"/>
              </w:numPr>
              <w:tabs>
                <w:tab w:val="left" w:pos="447"/>
              </w:tabs>
              <w:ind w:left="600" w:hanging="425"/>
              <w:rPr>
                <w:rFonts w:ascii="Arial Narrow" w:hAnsi="Arial Narrow"/>
                <w:iCs/>
                <w:sz w:val="20"/>
                <w:szCs w:val="20"/>
              </w:rPr>
            </w:pPr>
            <w:r>
              <w:rPr>
                <w:rFonts w:ascii="Arial Narrow" w:hAnsi="Arial Narrow"/>
                <w:sz w:val="20"/>
                <w:szCs w:val="20"/>
              </w:rPr>
              <w:t>Gradul de cunoaştere de către angajaţi a normelor privind transparenţa</w:t>
            </w:r>
          </w:p>
        </w:tc>
        <w:tc>
          <w:tcPr>
            <w:tcW w:w="1083" w:type="dxa"/>
          </w:tcPr>
          <w:p>
            <w:pPr>
              <w:jc w:val="right"/>
            </w:pPr>
            <w:r>
              <w:rPr>
                <w:rFonts w:ascii="Arial Narrow" w:hAnsi="Arial Narrow"/>
                <w:iCs/>
                <w:sz w:val="20"/>
                <w:szCs w:val="20"/>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8"/>
              </w:numPr>
              <w:tabs>
                <w:tab w:val="left" w:pos="447"/>
              </w:tabs>
              <w:ind w:left="432" w:hanging="257"/>
              <w:rPr>
                <w:rFonts w:ascii="Arial Narrow" w:hAnsi="Arial Narrow"/>
                <w:iCs/>
                <w:sz w:val="20"/>
                <w:szCs w:val="20"/>
              </w:rPr>
            </w:pPr>
            <w:r>
              <w:rPr>
                <w:rFonts w:ascii="Arial Narrow" w:hAnsi="Arial Narrow"/>
                <w:sz w:val="20"/>
                <w:szCs w:val="20"/>
              </w:rPr>
              <w:t>Număr de persoane care au fost instruite prin intermediul acţiunilor de formare profesională</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748" w:type="dxa"/>
            <w:vMerge w:val="restart"/>
            <w:shd w:val="clear" w:color="auto" w:fill="auto"/>
          </w:tcPr>
          <w:p>
            <w:pPr>
              <w:pStyle w:val="29"/>
              <w:numPr>
                <w:ilvl w:val="0"/>
                <w:numId w:val="1"/>
              </w:numPr>
              <w:jc w:val="center"/>
              <w:rPr>
                <w:rFonts w:ascii="Arial Narrow" w:hAnsi="Arial Narrow"/>
                <w:sz w:val="20"/>
                <w:szCs w:val="20"/>
              </w:rPr>
            </w:pPr>
          </w:p>
        </w:tc>
        <w:tc>
          <w:tcPr>
            <w:tcW w:w="1883" w:type="dxa"/>
            <w:vMerge w:val="restart"/>
            <w:shd w:val="clear" w:color="auto" w:fill="auto"/>
          </w:tcPr>
          <w:p>
            <w:pPr>
              <w:jc w:val="center"/>
              <w:rPr>
                <w:rFonts w:ascii="Arial Narrow" w:hAnsi="Arial Narrow"/>
                <w:b/>
                <w:sz w:val="20"/>
                <w:szCs w:val="20"/>
              </w:rPr>
            </w:pPr>
            <w:r>
              <w:rPr>
                <w:rFonts w:ascii="Arial Narrow" w:hAnsi="Arial Narrow"/>
                <w:b/>
                <w:sz w:val="20"/>
                <w:szCs w:val="20"/>
              </w:rPr>
              <w:t>Acces la informaţii de interes public</w:t>
            </w:r>
          </w:p>
        </w:tc>
        <w:tc>
          <w:tcPr>
            <w:tcW w:w="5760" w:type="dxa"/>
            <w:vMerge w:val="restart"/>
            <w:shd w:val="clear" w:color="auto" w:fill="auto"/>
          </w:tcPr>
          <w:p>
            <w:pPr>
              <w:jc w:val="both"/>
              <w:rPr>
                <w:rFonts w:ascii="Arial Narrow" w:hAnsi="Arial Narrow"/>
                <w:sz w:val="20"/>
                <w:szCs w:val="20"/>
              </w:rPr>
            </w:pPr>
            <w:r>
              <w:rPr>
                <w:rFonts w:ascii="Arial Narrow" w:hAnsi="Arial Narrow"/>
                <w:sz w:val="20"/>
                <w:szCs w:val="20"/>
              </w:rPr>
              <w:t>Legea nr. 544/2001 privind liberul acces la informaţiile de interes public, cu modificările ulterioare; Ordonanţa de urgenţă a Guvernului nr. 57/2019 privind Codul administrativ, cu modificările şi completările ulterioare.</w:t>
            </w:r>
          </w:p>
        </w:tc>
        <w:tc>
          <w:tcPr>
            <w:tcW w:w="6581" w:type="dxa"/>
            <w:shd w:val="clear" w:color="auto" w:fill="auto"/>
          </w:tcPr>
          <w:p>
            <w:pPr>
              <w:numPr>
                <w:ilvl w:val="0"/>
                <w:numId w:val="9"/>
              </w:numPr>
              <w:ind w:left="432" w:hanging="270"/>
              <w:rPr>
                <w:rFonts w:ascii="Arial Narrow" w:hAnsi="Arial Narrow"/>
                <w:iCs/>
                <w:sz w:val="20"/>
                <w:szCs w:val="20"/>
              </w:rPr>
            </w:pPr>
            <w:r>
              <w:rPr>
                <w:rFonts w:ascii="Arial Narrow" w:hAnsi="Arial Narrow"/>
                <w:sz w:val="20"/>
                <w:szCs w:val="20"/>
              </w:rPr>
              <w:t>Număr de seturi de date publicate în format deschis pe platforma data.gov.ro</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pStyle w:val="29"/>
              <w:numPr>
                <w:ilvl w:val="0"/>
                <w:numId w:val="9"/>
              </w:numPr>
              <w:ind w:left="432" w:hanging="257"/>
              <w:rPr>
                <w:rFonts w:ascii="Arial Narrow" w:hAnsi="Arial Narrow"/>
                <w:iCs/>
                <w:sz w:val="20"/>
                <w:szCs w:val="20"/>
              </w:rPr>
            </w:pPr>
            <w:r>
              <w:rPr>
                <w:rFonts w:ascii="Arial Narrow" w:hAnsi="Arial Narrow"/>
                <w:sz w:val="20"/>
                <w:szCs w:val="20"/>
              </w:rPr>
              <w:t>Număr de solicitări de informaţii de interes public primite</w:t>
            </w:r>
          </w:p>
        </w:tc>
        <w:tc>
          <w:tcPr>
            <w:tcW w:w="1083" w:type="dxa"/>
          </w:tcPr>
          <w:p>
            <w:pPr>
              <w:jc w:val="right"/>
              <w:rPr>
                <w:rFonts w:hint="default"/>
              </w:rPr>
            </w:pPr>
            <w:r>
              <w:rPr>
                <w:rFonts w:ascii="Arial Narrow" w:hAnsi="Arial Narrow"/>
                <w:iCs/>
                <w:sz w:val="20"/>
                <w:szCs w:val="20"/>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9"/>
              </w:numPr>
              <w:ind w:left="432" w:hanging="257"/>
              <w:rPr>
                <w:rFonts w:ascii="Arial Narrow" w:hAnsi="Arial Narrow"/>
                <w:iCs/>
                <w:sz w:val="20"/>
                <w:szCs w:val="20"/>
              </w:rPr>
            </w:pPr>
            <w:r>
              <w:rPr>
                <w:rFonts w:ascii="Arial Narrow" w:hAnsi="Arial Narrow"/>
                <w:sz w:val="20"/>
                <w:szCs w:val="20"/>
              </w:rPr>
              <w:t>Număr de răspunsuri comunicate în termenul legal</w:t>
            </w:r>
          </w:p>
        </w:tc>
        <w:tc>
          <w:tcPr>
            <w:tcW w:w="1083" w:type="dxa"/>
          </w:tcPr>
          <w:p>
            <w:pPr>
              <w:jc w:val="right"/>
              <w:rPr>
                <w:rFonts w:hint="default"/>
              </w:rPr>
            </w:pPr>
            <w:r>
              <w:rPr>
                <w:rFonts w:ascii="Arial Narrow" w:hAnsi="Arial Narrow"/>
                <w:iCs/>
                <w:sz w:val="20"/>
                <w:szCs w:val="20"/>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9"/>
              </w:numPr>
              <w:ind w:left="432" w:hanging="257"/>
              <w:rPr>
                <w:rFonts w:ascii="Arial Narrow" w:hAnsi="Arial Narrow"/>
                <w:iCs/>
                <w:sz w:val="20"/>
                <w:szCs w:val="20"/>
              </w:rPr>
            </w:pPr>
            <w:r>
              <w:rPr>
                <w:rFonts w:ascii="Arial Narrow" w:hAnsi="Arial Narrow"/>
                <w:sz w:val="20"/>
                <w:szCs w:val="20"/>
              </w:rPr>
              <w:t>Număr de reclamaţii administrative</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9"/>
              </w:numPr>
              <w:ind w:left="432" w:hanging="257"/>
              <w:rPr>
                <w:rFonts w:ascii="Arial Narrow" w:hAnsi="Arial Narrow"/>
                <w:iCs/>
                <w:sz w:val="20"/>
                <w:szCs w:val="20"/>
              </w:rPr>
            </w:pPr>
            <w:r>
              <w:rPr>
                <w:rFonts w:ascii="Arial Narrow" w:hAnsi="Arial Narrow"/>
                <w:sz w:val="20"/>
                <w:szCs w:val="20"/>
              </w:rPr>
              <w:t>Număr de reclamaţii administrative soluţionate favorabil</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9"/>
              </w:numPr>
              <w:ind w:left="432" w:hanging="257"/>
              <w:rPr>
                <w:rFonts w:ascii="Arial Narrow" w:hAnsi="Arial Narrow"/>
                <w:iCs/>
                <w:sz w:val="20"/>
                <w:szCs w:val="20"/>
              </w:rPr>
            </w:pPr>
            <w:r>
              <w:rPr>
                <w:rFonts w:ascii="Arial Narrow" w:hAnsi="Arial Narrow"/>
                <w:sz w:val="20"/>
                <w:szCs w:val="20"/>
              </w:rPr>
              <w:t>Număr de plângeri în instanţă</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9"/>
              </w:numPr>
              <w:ind w:left="432" w:hanging="257"/>
              <w:rPr>
                <w:rFonts w:ascii="Arial Narrow" w:hAnsi="Arial Narrow"/>
                <w:iCs/>
                <w:sz w:val="20"/>
                <w:szCs w:val="20"/>
              </w:rPr>
            </w:pPr>
            <w:r>
              <w:rPr>
                <w:rFonts w:ascii="Arial Narrow" w:hAnsi="Arial Narrow"/>
                <w:sz w:val="20"/>
                <w:szCs w:val="20"/>
              </w:rPr>
              <w:t>Număr de hotărâri judecătoreşti definitive pronunţate în favoarea petentului, ca urmare a plângerilor având ca obiect comunicarea de informaţii de interes public</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9"/>
              </w:numPr>
              <w:ind w:left="432" w:hanging="257"/>
              <w:rPr>
                <w:rFonts w:ascii="Arial Narrow" w:hAnsi="Arial Narrow"/>
                <w:iCs/>
                <w:sz w:val="20"/>
                <w:szCs w:val="20"/>
              </w:rPr>
            </w:pPr>
            <w:r>
              <w:rPr>
                <w:rFonts w:ascii="Arial Narrow" w:hAnsi="Arial Narrow"/>
                <w:sz w:val="20"/>
                <w:szCs w:val="20"/>
              </w:rPr>
              <w:t>Numărul de sancţiuni dispuse pentru încălcarea obligaţiilor legale</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9"/>
              </w:numPr>
              <w:ind w:left="432" w:hanging="257"/>
              <w:rPr>
                <w:rFonts w:ascii="Arial Narrow" w:hAnsi="Arial Narrow"/>
                <w:iCs/>
                <w:sz w:val="20"/>
                <w:szCs w:val="20"/>
              </w:rPr>
            </w:pPr>
            <w:r>
              <w:rPr>
                <w:rFonts w:ascii="Arial Narrow" w:hAnsi="Arial Narrow"/>
                <w:sz w:val="20"/>
                <w:szCs w:val="20"/>
              </w:rPr>
              <w:t>Număr de persoane care au fost instruite prin intermediul acţiunilor de formare profesională</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9"/>
              </w:numPr>
              <w:ind w:left="432" w:hanging="257"/>
              <w:rPr>
                <w:rFonts w:ascii="Arial Narrow" w:hAnsi="Arial Narrow"/>
                <w:iCs/>
                <w:sz w:val="20"/>
                <w:szCs w:val="20"/>
              </w:rPr>
            </w:pPr>
            <w:r>
              <w:rPr>
                <w:rFonts w:ascii="Arial Narrow" w:hAnsi="Arial Narrow"/>
                <w:sz w:val="20"/>
                <w:szCs w:val="20"/>
              </w:rPr>
              <w:t>Gradul de cunoaştere de către angajaţi a normelor privind accesul la informaţii de interes public</w:t>
            </w:r>
          </w:p>
        </w:tc>
        <w:tc>
          <w:tcPr>
            <w:tcW w:w="1083" w:type="dxa"/>
          </w:tcPr>
          <w:p>
            <w:pPr>
              <w:jc w:val="right"/>
            </w:pPr>
            <w:r>
              <w:rPr>
                <w:rFonts w:ascii="Arial Narrow" w:hAnsi="Arial Narrow"/>
                <w:iCs/>
                <w:sz w:val="20"/>
                <w:szCs w:val="20"/>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restart"/>
            <w:shd w:val="clear" w:color="auto" w:fill="auto"/>
          </w:tcPr>
          <w:p>
            <w:pPr>
              <w:pStyle w:val="29"/>
              <w:numPr>
                <w:ilvl w:val="0"/>
                <w:numId w:val="1"/>
              </w:numPr>
              <w:jc w:val="center"/>
              <w:rPr>
                <w:rFonts w:ascii="Arial Narrow" w:hAnsi="Arial Narrow"/>
                <w:sz w:val="20"/>
                <w:szCs w:val="20"/>
              </w:rPr>
            </w:pPr>
          </w:p>
        </w:tc>
        <w:tc>
          <w:tcPr>
            <w:tcW w:w="1883" w:type="dxa"/>
            <w:vMerge w:val="restart"/>
            <w:shd w:val="clear" w:color="auto" w:fill="auto"/>
          </w:tcPr>
          <w:p>
            <w:pPr>
              <w:jc w:val="center"/>
              <w:rPr>
                <w:rFonts w:ascii="Arial Narrow" w:hAnsi="Arial Narrow"/>
                <w:b/>
                <w:sz w:val="20"/>
                <w:szCs w:val="20"/>
              </w:rPr>
            </w:pPr>
            <w:r>
              <w:rPr>
                <w:rFonts w:ascii="Arial Narrow" w:hAnsi="Arial Narrow"/>
                <w:b/>
                <w:sz w:val="20"/>
                <w:szCs w:val="20"/>
              </w:rPr>
              <w:t>Protecţia avertizorului de integritate</w:t>
            </w:r>
          </w:p>
        </w:tc>
        <w:tc>
          <w:tcPr>
            <w:tcW w:w="5760" w:type="dxa"/>
            <w:vMerge w:val="restart"/>
            <w:shd w:val="clear" w:color="auto" w:fill="auto"/>
          </w:tcPr>
          <w:p>
            <w:pPr>
              <w:jc w:val="both"/>
              <w:rPr>
                <w:rFonts w:ascii="Arial Narrow" w:hAnsi="Arial Narrow"/>
                <w:sz w:val="20"/>
                <w:szCs w:val="20"/>
              </w:rPr>
            </w:pPr>
            <w:r>
              <w:rPr>
                <w:rFonts w:ascii="Arial Narrow" w:hAnsi="Arial Narrow"/>
                <w:sz w:val="20"/>
                <w:szCs w:val="20"/>
              </w:rPr>
              <w:t>Legea privind protecţia avertizorilor în interes public (Legislaţia de transpunere a Directivei 1937).</w:t>
            </w:r>
          </w:p>
        </w:tc>
        <w:tc>
          <w:tcPr>
            <w:tcW w:w="6581" w:type="dxa"/>
            <w:shd w:val="clear" w:color="auto" w:fill="auto"/>
          </w:tcPr>
          <w:p>
            <w:pPr>
              <w:numPr>
                <w:ilvl w:val="0"/>
                <w:numId w:val="10"/>
              </w:numPr>
              <w:ind w:left="432" w:hanging="257"/>
              <w:rPr>
                <w:rFonts w:ascii="Arial Narrow" w:hAnsi="Arial Narrow"/>
                <w:iCs/>
                <w:sz w:val="20"/>
                <w:szCs w:val="20"/>
              </w:rPr>
            </w:pPr>
            <w:r>
              <w:rPr>
                <w:rFonts w:ascii="Arial Narrow" w:hAnsi="Arial Narrow"/>
                <w:sz w:val="20"/>
                <w:szCs w:val="20"/>
              </w:rPr>
              <w:t>Număr de raportări</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b/>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10"/>
              </w:numPr>
              <w:ind w:left="432" w:hanging="257"/>
              <w:rPr>
                <w:rFonts w:ascii="Arial Narrow" w:hAnsi="Arial Narrow"/>
                <w:iCs/>
                <w:sz w:val="20"/>
                <w:szCs w:val="20"/>
              </w:rPr>
            </w:pPr>
            <w:r>
              <w:rPr>
                <w:rFonts w:ascii="Arial Narrow" w:hAnsi="Arial Narrow"/>
                <w:sz w:val="20"/>
                <w:szCs w:val="20"/>
              </w:rPr>
              <w:t>Numărul de investigaţii şi proceduri iniţiate ca urmare a acestor raportări şi rezultatul acestora</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10"/>
              </w:numPr>
              <w:ind w:left="432" w:hanging="257"/>
              <w:rPr>
                <w:rFonts w:ascii="Arial Narrow" w:hAnsi="Arial Narrow"/>
                <w:iCs/>
                <w:sz w:val="20"/>
                <w:szCs w:val="20"/>
              </w:rPr>
            </w:pPr>
            <w:r>
              <w:rPr>
                <w:rFonts w:ascii="Arial Narrow" w:hAnsi="Arial Narrow"/>
                <w:sz w:val="20"/>
                <w:szCs w:val="20"/>
              </w:rPr>
              <w:t>Număr de situaţii de represalii la locul de muncă</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10"/>
              </w:numPr>
              <w:ind w:left="432" w:hanging="257"/>
              <w:rPr>
                <w:rFonts w:ascii="Arial Narrow" w:hAnsi="Arial Narrow"/>
                <w:iCs/>
                <w:sz w:val="20"/>
                <w:szCs w:val="20"/>
              </w:rPr>
            </w:pPr>
            <w:r>
              <w:rPr>
                <w:rFonts w:ascii="Arial Narrow" w:hAnsi="Arial Narrow"/>
                <w:sz w:val="20"/>
                <w:szCs w:val="20"/>
              </w:rPr>
              <w:t>Număr de plângeri depuse in instanţă</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10"/>
              </w:numPr>
              <w:ind w:left="432" w:hanging="257"/>
              <w:rPr>
                <w:rFonts w:ascii="Arial Narrow" w:hAnsi="Arial Narrow"/>
                <w:iCs/>
                <w:sz w:val="20"/>
                <w:szCs w:val="20"/>
              </w:rPr>
            </w:pPr>
            <w:r>
              <w:rPr>
                <w:rFonts w:ascii="Arial Narrow" w:hAnsi="Arial Narrow"/>
                <w:sz w:val="20"/>
                <w:szCs w:val="20"/>
              </w:rPr>
              <w:t>Prejudiciul financiar estimat şi sumele recuperate în urma investigaţiilor şi a procedurilor referitoare la încălcările raportate (în cazul în care sunt confirmate)</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numPr>
                <w:ilvl w:val="0"/>
                <w:numId w:val="10"/>
              </w:numPr>
              <w:ind w:left="432" w:hanging="257"/>
              <w:rPr>
                <w:rFonts w:ascii="Arial Narrow" w:hAnsi="Arial Narrow"/>
                <w:iCs/>
                <w:sz w:val="20"/>
                <w:szCs w:val="20"/>
              </w:rPr>
            </w:pPr>
            <w:r>
              <w:rPr>
                <w:rFonts w:ascii="Arial Narrow" w:hAnsi="Arial Narrow"/>
                <w:sz w:val="20"/>
                <w:szCs w:val="20"/>
              </w:rPr>
              <w:t>Număr de persoane care au fost instruite prin intermediul acţiunilor de formare profesională</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748" w:type="dxa"/>
            <w:vMerge w:val="restart"/>
            <w:shd w:val="clear" w:color="auto" w:fill="auto"/>
          </w:tcPr>
          <w:p>
            <w:pPr>
              <w:pStyle w:val="29"/>
              <w:numPr>
                <w:ilvl w:val="0"/>
                <w:numId w:val="1"/>
              </w:numPr>
              <w:jc w:val="center"/>
              <w:rPr>
                <w:rFonts w:ascii="Arial Narrow" w:hAnsi="Arial Narrow"/>
                <w:sz w:val="20"/>
                <w:szCs w:val="20"/>
              </w:rPr>
            </w:pPr>
          </w:p>
        </w:tc>
        <w:tc>
          <w:tcPr>
            <w:tcW w:w="1883" w:type="dxa"/>
            <w:vMerge w:val="restart"/>
            <w:shd w:val="clear" w:color="auto" w:fill="auto"/>
          </w:tcPr>
          <w:p>
            <w:pPr>
              <w:jc w:val="center"/>
              <w:rPr>
                <w:rFonts w:ascii="Arial Narrow" w:hAnsi="Arial Narrow"/>
                <w:b/>
                <w:sz w:val="20"/>
                <w:szCs w:val="20"/>
              </w:rPr>
            </w:pPr>
            <w:r>
              <w:rPr>
                <w:rFonts w:ascii="Arial Narrow" w:hAnsi="Arial Narrow"/>
                <w:b/>
                <w:sz w:val="20"/>
                <w:szCs w:val="20"/>
              </w:rPr>
              <w:t>Interdicţii după încheierea angajării în cadrul instituţiilor publice</w:t>
            </w:r>
          </w:p>
          <w:p>
            <w:pPr>
              <w:jc w:val="center"/>
              <w:rPr>
                <w:rFonts w:ascii="Arial Narrow" w:hAnsi="Arial Narrow"/>
                <w:sz w:val="20"/>
                <w:szCs w:val="20"/>
              </w:rPr>
            </w:pPr>
            <w:r>
              <w:rPr>
                <w:rFonts w:ascii="Arial Narrow" w:hAnsi="Arial Narrow"/>
                <w:b/>
                <w:sz w:val="20"/>
                <w:szCs w:val="20"/>
              </w:rPr>
              <w:t>(Pantouflage)</w:t>
            </w:r>
          </w:p>
        </w:tc>
        <w:tc>
          <w:tcPr>
            <w:tcW w:w="5760" w:type="dxa"/>
            <w:vMerge w:val="restart"/>
            <w:shd w:val="clear" w:color="auto" w:fill="auto"/>
          </w:tcPr>
          <w:p>
            <w:pPr>
              <w:jc w:val="both"/>
              <w:rPr>
                <w:rFonts w:ascii="Arial Narrow" w:hAnsi="Arial Narrow"/>
                <w:sz w:val="20"/>
                <w:szCs w:val="20"/>
              </w:rPr>
            </w:pPr>
            <w:r>
              <w:rPr>
                <w:rFonts w:ascii="Arial Narrow" w:hAnsi="Arial Narrow"/>
                <w:sz w:val="20"/>
                <w:szCs w:val="20"/>
              </w:rPr>
              <w:t>Legea nr. 161/2003 privind unele măsuri pentru asigurarea transparenţei în exercitarea demnităţilor publice, a funcţiilor publice şi în mediul de afaceri, prevenirea şi sancţionarea corupţiei, cu modificările şi completările ulterioare [art. 94 alin. (3)]; Ordonanţa de urgenţă a Guvernului nr. 66/2011 privind prevenirea, constatarea şi sancţionarea neregulilor apărute în obţinerea şi utilizarea fondurilor europene şi/sau a fondurilor publice naţionale aferente acestora [art. 13 alin. (1)]; Legea nr. 98/2016 privind achiziţiile publice [Secţiunea a 4-a Reguli de evitare a conflictului de interese, art. 61]; Legea nr. 99/2016 privind achiziţiile sectoriale [Secţiunea a 4-a Reguli de evitare a conflictului de interese, la art. 74]; Legea nr. 672/2002 privind auditul public intern [art. 22 alin. (5)]; Legea nr. 100/2016 privind concesiunile de lucrări şi concesiunile de servicii [art. 45]; O.U.G. nr. 87/2020 privind organizarea şi funcţionarea Corpului de control al prim- ministrului, precum şi pentru instituirea unor măsuri de îmbunătăţire a activităţii acestuia [art. 7 alin (3)].</w:t>
            </w:r>
          </w:p>
        </w:tc>
        <w:tc>
          <w:tcPr>
            <w:tcW w:w="6581" w:type="dxa"/>
            <w:shd w:val="clear" w:color="auto" w:fill="auto"/>
            <w:vAlign w:val="center"/>
          </w:tcPr>
          <w:p>
            <w:pPr>
              <w:numPr>
                <w:ilvl w:val="0"/>
                <w:numId w:val="11"/>
              </w:numPr>
              <w:ind w:left="432" w:hanging="257"/>
              <w:rPr>
                <w:rFonts w:ascii="Arial Narrow" w:hAnsi="Arial Narrow"/>
                <w:iCs/>
                <w:sz w:val="20"/>
                <w:szCs w:val="20"/>
              </w:rPr>
            </w:pPr>
            <w:r>
              <w:rPr>
                <w:rFonts w:ascii="Arial Narrow" w:hAnsi="Arial Narrow"/>
                <w:iCs/>
                <w:sz w:val="20"/>
                <w:szCs w:val="20"/>
              </w:rPr>
              <w:t>Număr de încălcări ale regimului legal</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vAlign w:val="center"/>
          </w:tcPr>
          <w:p>
            <w:pPr>
              <w:numPr>
                <w:ilvl w:val="0"/>
                <w:numId w:val="11"/>
              </w:numPr>
              <w:tabs>
                <w:tab w:val="left" w:pos="432"/>
              </w:tabs>
              <w:ind w:left="432" w:hanging="257"/>
              <w:rPr>
                <w:rFonts w:ascii="Arial Narrow" w:hAnsi="Arial Narrow"/>
                <w:sz w:val="20"/>
                <w:szCs w:val="20"/>
              </w:rPr>
            </w:pPr>
            <w:r>
              <w:rPr>
                <w:rFonts w:ascii="Arial Narrow" w:hAnsi="Arial Narrow"/>
                <w:sz w:val="20"/>
                <w:szCs w:val="20"/>
              </w:rPr>
              <w:t>Număr de solicitări către instanţa de judecată pentru anularea contractului de finanţare în caz de încălcare a art. 13 alin. (1)</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vAlign w:val="center"/>
          </w:tcPr>
          <w:p>
            <w:pPr>
              <w:numPr>
                <w:ilvl w:val="0"/>
                <w:numId w:val="11"/>
              </w:numPr>
              <w:tabs>
                <w:tab w:val="left" w:pos="432"/>
              </w:tabs>
              <w:ind w:left="600" w:hanging="425"/>
              <w:rPr>
                <w:rFonts w:ascii="Arial Narrow" w:hAnsi="Arial Narrow" w:cs="Angsana New"/>
                <w:sz w:val="20"/>
                <w:szCs w:val="20"/>
              </w:rPr>
            </w:pPr>
            <w:r>
              <w:rPr>
                <w:rFonts w:ascii="Arial Narrow" w:hAnsi="Arial Narrow" w:cs="Angsana New"/>
                <w:sz w:val="20"/>
                <w:szCs w:val="20"/>
              </w:rPr>
              <w:t>Num</w:t>
            </w:r>
            <w:r>
              <w:rPr>
                <w:rFonts w:ascii="Arial Narrow" w:hAnsi="Arial Narrow" w:cs="Cambria"/>
                <w:sz w:val="20"/>
                <w:szCs w:val="20"/>
              </w:rPr>
              <w:t>ă</w:t>
            </w:r>
            <w:r>
              <w:rPr>
                <w:rFonts w:ascii="Arial Narrow" w:hAnsi="Arial Narrow" w:cs="Angsana New"/>
                <w:sz w:val="20"/>
                <w:szCs w:val="20"/>
              </w:rPr>
              <w:t>r de sanc</w:t>
            </w:r>
            <w:r>
              <w:rPr>
                <w:rFonts w:ascii="Arial Narrow" w:hAnsi="Arial Narrow" w:cs="Cambria"/>
                <w:sz w:val="20"/>
                <w:szCs w:val="20"/>
              </w:rPr>
              <w:t>ţ</w:t>
            </w:r>
            <w:r>
              <w:rPr>
                <w:rFonts w:ascii="Arial Narrow" w:hAnsi="Arial Narrow" w:cs="Angsana New"/>
                <w:sz w:val="20"/>
                <w:szCs w:val="20"/>
              </w:rPr>
              <w:t>iuni aplicate de c</w:t>
            </w:r>
            <w:r>
              <w:rPr>
                <w:rFonts w:ascii="Arial Narrow" w:hAnsi="Arial Narrow" w:cs="Cambria"/>
                <w:sz w:val="20"/>
                <w:szCs w:val="20"/>
              </w:rPr>
              <w:t>ă</w:t>
            </w:r>
            <w:r>
              <w:rPr>
                <w:rFonts w:ascii="Arial Narrow" w:hAnsi="Arial Narrow" w:cs="Angsana New"/>
                <w:sz w:val="20"/>
                <w:szCs w:val="20"/>
              </w:rPr>
              <w:t>tre instan</w:t>
            </w:r>
            <w:r>
              <w:rPr>
                <w:rFonts w:ascii="Arial Narrow" w:hAnsi="Arial Narrow" w:cs="Cambria"/>
                <w:sz w:val="20"/>
                <w:szCs w:val="20"/>
              </w:rPr>
              <w:t>ţ</w:t>
            </w:r>
            <w:r>
              <w:rPr>
                <w:rFonts w:ascii="Arial Narrow" w:hAnsi="Arial Narrow" w:cs="Angsana New"/>
                <w:sz w:val="20"/>
                <w:szCs w:val="20"/>
              </w:rPr>
              <w:t>e</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restart"/>
            <w:shd w:val="clear" w:color="auto" w:fill="auto"/>
          </w:tcPr>
          <w:p>
            <w:pPr>
              <w:pStyle w:val="29"/>
              <w:numPr>
                <w:ilvl w:val="0"/>
                <w:numId w:val="1"/>
              </w:numPr>
              <w:jc w:val="center"/>
              <w:rPr>
                <w:rFonts w:ascii="Arial Narrow" w:hAnsi="Arial Narrow"/>
                <w:sz w:val="20"/>
                <w:szCs w:val="20"/>
              </w:rPr>
            </w:pPr>
          </w:p>
        </w:tc>
        <w:tc>
          <w:tcPr>
            <w:tcW w:w="1883" w:type="dxa"/>
            <w:vMerge w:val="restart"/>
            <w:shd w:val="clear" w:color="auto" w:fill="auto"/>
          </w:tcPr>
          <w:p>
            <w:pPr>
              <w:jc w:val="center"/>
              <w:rPr>
                <w:rFonts w:ascii="Arial Narrow" w:hAnsi="Arial Narrow"/>
                <w:b/>
                <w:sz w:val="20"/>
                <w:szCs w:val="20"/>
              </w:rPr>
            </w:pPr>
            <w:r>
              <w:rPr>
                <w:rFonts w:ascii="Arial Narrow" w:hAnsi="Arial Narrow"/>
                <w:b/>
                <w:sz w:val="20"/>
                <w:szCs w:val="20"/>
              </w:rPr>
              <w:t>Funcțiile sensibile</w:t>
            </w:r>
          </w:p>
        </w:tc>
        <w:tc>
          <w:tcPr>
            <w:tcW w:w="5760" w:type="dxa"/>
            <w:vMerge w:val="restart"/>
            <w:shd w:val="clear" w:color="auto" w:fill="auto"/>
          </w:tcPr>
          <w:p>
            <w:pPr>
              <w:jc w:val="both"/>
              <w:rPr>
                <w:rFonts w:ascii="Arial Narrow" w:hAnsi="Arial Narrow"/>
                <w:sz w:val="20"/>
                <w:szCs w:val="20"/>
              </w:rPr>
            </w:pPr>
            <w:r>
              <w:rPr>
                <w:rFonts w:ascii="Arial Narrow" w:hAnsi="Arial Narrow"/>
                <w:sz w:val="20"/>
                <w:szCs w:val="20"/>
              </w:rPr>
              <w:t>Ordinul secretarului general al Guvernului nr. 600/2018 privind aprobarea Codului controlului internmanagerial al entităților publice.</w:t>
            </w:r>
          </w:p>
          <w:p>
            <w:pPr>
              <w:jc w:val="both"/>
              <w:rPr>
                <w:rFonts w:ascii="Arial Narrow" w:hAnsi="Arial Narrow"/>
                <w:sz w:val="20"/>
                <w:szCs w:val="20"/>
              </w:rPr>
            </w:pPr>
          </w:p>
        </w:tc>
        <w:tc>
          <w:tcPr>
            <w:tcW w:w="6581" w:type="dxa"/>
            <w:shd w:val="clear" w:color="auto" w:fill="auto"/>
          </w:tcPr>
          <w:p>
            <w:pPr>
              <w:numPr>
                <w:ilvl w:val="0"/>
                <w:numId w:val="12"/>
              </w:numPr>
              <w:tabs>
                <w:tab w:val="left" w:pos="432"/>
              </w:tabs>
              <w:ind w:left="600" w:hanging="425"/>
              <w:rPr>
                <w:rFonts w:ascii="Arial Narrow" w:hAnsi="Arial Narrow" w:cs="Angsana New"/>
                <w:iCs/>
                <w:sz w:val="20"/>
                <w:szCs w:val="20"/>
              </w:rPr>
            </w:pPr>
            <w:r>
              <w:rPr>
                <w:rFonts w:ascii="Arial Narrow" w:hAnsi="Arial Narrow" w:cs="Angsana New"/>
                <w:sz w:val="20"/>
                <w:szCs w:val="20"/>
              </w:rPr>
              <w:t>Num</w:t>
            </w:r>
            <w:r>
              <w:rPr>
                <w:rFonts w:ascii="Arial Narrow" w:hAnsi="Arial Narrow" w:cs="Cambria"/>
                <w:sz w:val="20"/>
                <w:szCs w:val="20"/>
              </w:rPr>
              <w:t>ă</w:t>
            </w:r>
            <w:r>
              <w:rPr>
                <w:rFonts w:ascii="Arial Narrow" w:hAnsi="Arial Narrow" w:cs="Angsana New"/>
                <w:sz w:val="20"/>
                <w:szCs w:val="20"/>
              </w:rPr>
              <w:t>r func</w:t>
            </w:r>
            <w:r>
              <w:rPr>
                <w:rFonts w:ascii="Arial Narrow" w:hAnsi="Arial Narrow" w:cs="Cambria"/>
                <w:sz w:val="20"/>
                <w:szCs w:val="20"/>
              </w:rPr>
              <w:t>ţ</w:t>
            </w:r>
            <w:r>
              <w:rPr>
                <w:rFonts w:ascii="Arial Narrow" w:hAnsi="Arial Narrow" w:cs="Angsana New"/>
                <w:sz w:val="20"/>
                <w:szCs w:val="20"/>
              </w:rPr>
              <w:t xml:space="preserve">ii sensibile identificate </w:t>
            </w:r>
            <w:r>
              <w:rPr>
                <w:rFonts w:ascii="Arial Narrow" w:hAnsi="Arial Narrow" w:cs="Cambria"/>
                <w:sz w:val="20"/>
                <w:szCs w:val="20"/>
              </w:rPr>
              <w:t>ş</w:t>
            </w:r>
            <w:r>
              <w:rPr>
                <w:rFonts w:ascii="Arial Narrow" w:hAnsi="Arial Narrow" w:cs="Angsana New"/>
                <w:sz w:val="20"/>
                <w:szCs w:val="20"/>
              </w:rPr>
              <w:t>i inventariate</w:t>
            </w:r>
          </w:p>
        </w:tc>
        <w:tc>
          <w:tcPr>
            <w:tcW w:w="1083" w:type="dxa"/>
          </w:tcPr>
          <w:p>
            <w:pPr>
              <w:jc w:val="right"/>
              <w:rPr>
                <w:rFonts w:hint="default"/>
              </w:rPr>
            </w:pPr>
            <w:r>
              <w:rPr>
                <w:rFonts w:hint="default"/>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tcPr>
          <w:p>
            <w:pPr>
              <w:jc w:val="center"/>
              <w:rPr>
                <w:rFonts w:ascii="Arial Narrow" w:hAnsi="Arial Narrow"/>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tcPr>
          <w:p>
            <w:pPr>
              <w:pStyle w:val="29"/>
              <w:numPr>
                <w:ilvl w:val="0"/>
                <w:numId w:val="12"/>
              </w:numPr>
              <w:tabs>
                <w:tab w:val="left" w:pos="432"/>
              </w:tabs>
              <w:ind w:left="432" w:hanging="257"/>
              <w:rPr>
                <w:rFonts w:ascii="Arial Narrow" w:hAnsi="Arial Narrow" w:cs="Angsana New"/>
                <w:iCs/>
                <w:sz w:val="20"/>
                <w:szCs w:val="20"/>
              </w:rPr>
            </w:pPr>
            <w:r>
              <w:rPr>
                <w:rFonts w:ascii="Arial Narrow" w:hAnsi="Arial Narrow" w:cs="Angsana New"/>
                <w:sz w:val="20"/>
                <w:szCs w:val="20"/>
              </w:rPr>
              <w:t>Num</w:t>
            </w:r>
            <w:r>
              <w:rPr>
                <w:rFonts w:ascii="Arial Narrow" w:hAnsi="Arial Narrow" w:cs="Cambria"/>
                <w:sz w:val="20"/>
                <w:szCs w:val="20"/>
              </w:rPr>
              <w:t>ă</w:t>
            </w:r>
            <w:r>
              <w:rPr>
                <w:rFonts w:ascii="Arial Narrow" w:hAnsi="Arial Narrow" w:cs="Angsana New"/>
                <w:sz w:val="20"/>
                <w:szCs w:val="20"/>
              </w:rPr>
              <w:t>r m</w:t>
            </w:r>
            <w:r>
              <w:rPr>
                <w:rFonts w:ascii="Arial Narrow" w:hAnsi="Arial Narrow" w:cs="Cambria"/>
                <w:sz w:val="20"/>
                <w:szCs w:val="20"/>
              </w:rPr>
              <w:t>ă</w:t>
            </w:r>
            <w:r>
              <w:rPr>
                <w:rFonts w:ascii="Arial Narrow" w:hAnsi="Arial Narrow" w:cs="Angsana New"/>
                <w:sz w:val="20"/>
                <w:szCs w:val="20"/>
              </w:rPr>
              <w:t xml:space="preserve">suri de control adecvate </w:t>
            </w:r>
            <w:r>
              <w:rPr>
                <w:rFonts w:ascii="Arial Narrow" w:hAnsi="Arial Narrow" w:cs="Cambria"/>
                <w:sz w:val="20"/>
                <w:szCs w:val="20"/>
              </w:rPr>
              <w:t>ş</w:t>
            </w:r>
            <w:r>
              <w:rPr>
                <w:rFonts w:ascii="Arial Narrow" w:hAnsi="Arial Narrow" w:cs="Angsana New"/>
                <w:sz w:val="20"/>
                <w:szCs w:val="20"/>
              </w:rPr>
              <w:t xml:space="preserve">i suficiente pentru administrarea </w:t>
            </w:r>
            <w:r>
              <w:rPr>
                <w:rFonts w:ascii="Arial Narrow" w:hAnsi="Arial Narrow" w:cs="Cambria"/>
                <w:sz w:val="20"/>
                <w:szCs w:val="20"/>
              </w:rPr>
              <w:t>ş</w:t>
            </w:r>
            <w:r>
              <w:rPr>
                <w:rFonts w:ascii="Arial Narrow" w:hAnsi="Arial Narrow" w:cs="Angsana New"/>
                <w:sz w:val="20"/>
                <w:szCs w:val="20"/>
              </w:rPr>
              <w:t>i gestionarea func</w:t>
            </w:r>
            <w:r>
              <w:rPr>
                <w:rFonts w:ascii="Arial Narrow" w:hAnsi="Arial Narrow" w:cs="Cambria"/>
                <w:sz w:val="20"/>
                <w:szCs w:val="20"/>
              </w:rPr>
              <w:t>ţ</w:t>
            </w:r>
            <w:r>
              <w:rPr>
                <w:rFonts w:ascii="Arial Narrow" w:hAnsi="Arial Narrow" w:cs="Angsana New"/>
                <w:sz w:val="20"/>
                <w:szCs w:val="20"/>
              </w:rPr>
              <w:t>iilor sensibile</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8" w:type="dxa"/>
            <w:vMerge w:val="restart"/>
            <w:shd w:val="clear" w:color="auto" w:fill="auto"/>
          </w:tcPr>
          <w:p>
            <w:pPr>
              <w:pStyle w:val="29"/>
              <w:numPr>
                <w:ilvl w:val="0"/>
                <w:numId w:val="1"/>
              </w:numPr>
              <w:jc w:val="center"/>
              <w:rPr>
                <w:rFonts w:ascii="Arial Narrow" w:hAnsi="Arial Narrow"/>
                <w:sz w:val="20"/>
                <w:szCs w:val="20"/>
              </w:rPr>
            </w:pPr>
          </w:p>
        </w:tc>
        <w:tc>
          <w:tcPr>
            <w:tcW w:w="1883" w:type="dxa"/>
            <w:vMerge w:val="restart"/>
            <w:shd w:val="clear" w:color="auto" w:fill="auto"/>
            <w:vAlign w:val="center"/>
          </w:tcPr>
          <w:p>
            <w:pPr>
              <w:jc w:val="center"/>
              <w:rPr>
                <w:rFonts w:ascii="Arial Narrow" w:hAnsi="Arial Narrow"/>
                <w:b/>
                <w:bCs/>
                <w:sz w:val="20"/>
                <w:szCs w:val="20"/>
              </w:rPr>
            </w:pPr>
            <w:r>
              <w:rPr>
                <w:rFonts w:ascii="Arial Narrow" w:hAnsi="Arial Narrow"/>
                <w:b/>
                <w:bCs/>
                <w:sz w:val="20"/>
                <w:szCs w:val="20"/>
              </w:rPr>
              <w:t>Evaluarea riscurilor de corupţie în cadrul autorităţilor şi instituţiilor publice centrale şi locale</w:t>
            </w:r>
          </w:p>
        </w:tc>
        <w:tc>
          <w:tcPr>
            <w:tcW w:w="5760" w:type="dxa"/>
            <w:vMerge w:val="restart"/>
            <w:shd w:val="clear" w:color="auto" w:fill="auto"/>
            <w:vAlign w:val="center"/>
          </w:tcPr>
          <w:p>
            <w:pPr>
              <w:jc w:val="both"/>
              <w:rPr>
                <w:rFonts w:ascii="Arial Narrow" w:hAnsi="Arial Narrow"/>
                <w:sz w:val="20"/>
                <w:szCs w:val="20"/>
              </w:rPr>
            </w:pPr>
            <w:r>
              <w:rPr>
                <w:rStyle w:val="31"/>
                <w:rFonts w:ascii="Arial Narrow" w:hAnsi="Arial Narrow"/>
                <w:sz w:val="20"/>
                <w:szCs w:val="20"/>
              </w:rPr>
              <w:t>Hotărârea Guvernului nr. 599/2018 pentru aprobarea Metodologiei standard de evaluare a riscurilor de corupţie în cadrul autorităţilor şi instituţiilor publice centrale, împreună cu indicatorii de estimare a probabilităţii de materializare a riscurilor de corupţie, cu indicatorii de estimare a impactului însituaţia materializării riscurilor de corupţie şi formatul registrului riscurilor de corupţie, precum şi pentru aprobarea Metodologiei de evaluare a incidentelor de integritate în cadrul autorităţilor şi instituţiilor publice centrale, împreună cu formatul raportului anual de evaluare a incidentelor de integritate.</w:t>
            </w:r>
          </w:p>
        </w:tc>
        <w:tc>
          <w:tcPr>
            <w:tcW w:w="6581" w:type="dxa"/>
            <w:shd w:val="clear" w:color="auto" w:fill="auto"/>
            <w:vAlign w:val="center"/>
          </w:tcPr>
          <w:p>
            <w:pPr>
              <w:pStyle w:val="29"/>
              <w:numPr>
                <w:ilvl w:val="0"/>
                <w:numId w:val="13"/>
              </w:numPr>
              <w:tabs>
                <w:tab w:val="left" w:pos="432"/>
              </w:tabs>
              <w:ind w:left="-14" w:firstLine="180"/>
              <w:rPr>
                <w:rFonts w:ascii="Arial Narrow" w:hAnsi="Arial Narrow" w:cs="Angsana New"/>
                <w:sz w:val="20"/>
                <w:szCs w:val="20"/>
              </w:rPr>
            </w:pPr>
            <w:r>
              <w:rPr>
                <w:rFonts w:ascii="Arial Narrow" w:hAnsi="Arial Narrow" w:cs="Angsana New"/>
                <w:sz w:val="20"/>
                <w:szCs w:val="20"/>
              </w:rPr>
              <w:t>Num</w:t>
            </w:r>
            <w:r>
              <w:rPr>
                <w:rFonts w:ascii="Arial Narrow" w:hAnsi="Arial Narrow" w:cs="Cambria"/>
                <w:sz w:val="20"/>
                <w:szCs w:val="20"/>
              </w:rPr>
              <w:t>ă</w:t>
            </w:r>
            <w:r>
              <w:rPr>
                <w:rFonts w:ascii="Arial Narrow" w:hAnsi="Arial Narrow" w:cs="Angsana New"/>
                <w:sz w:val="20"/>
                <w:szCs w:val="20"/>
              </w:rPr>
              <w:t xml:space="preserve">rul de riscuri identificate </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8" w:type="dxa"/>
            <w:vMerge w:val="continue"/>
            <w:shd w:val="clear" w:color="auto" w:fill="auto"/>
          </w:tcPr>
          <w:p>
            <w:pPr>
              <w:pStyle w:val="29"/>
              <w:numPr>
                <w:ilvl w:val="0"/>
                <w:numId w:val="1"/>
              </w:numPr>
              <w:jc w:val="center"/>
              <w:rPr>
                <w:rFonts w:ascii="Arial Narrow" w:hAnsi="Arial Narrow"/>
                <w:sz w:val="20"/>
                <w:szCs w:val="20"/>
              </w:rPr>
            </w:pPr>
          </w:p>
        </w:tc>
        <w:tc>
          <w:tcPr>
            <w:tcW w:w="1883" w:type="dxa"/>
            <w:vMerge w:val="continue"/>
            <w:shd w:val="clear" w:color="auto" w:fill="auto"/>
            <w:vAlign w:val="center"/>
          </w:tcPr>
          <w:p>
            <w:pPr>
              <w:jc w:val="center"/>
              <w:rPr>
                <w:rFonts w:ascii="Arial Narrow" w:hAnsi="Arial Narrow"/>
                <w:b/>
                <w:bCs/>
                <w:sz w:val="20"/>
                <w:szCs w:val="20"/>
              </w:rPr>
            </w:pPr>
          </w:p>
        </w:tc>
        <w:tc>
          <w:tcPr>
            <w:tcW w:w="5760" w:type="dxa"/>
            <w:vMerge w:val="continue"/>
            <w:shd w:val="clear" w:color="auto" w:fill="auto"/>
            <w:vAlign w:val="center"/>
          </w:tcPr>
          <w:p>
            <w:pPr>
              <w:jc w:val="both"/>
              <w:rPr>
                <w:rStyle w:val="31"/>
                <w:rFonts w:ascii="Arial Narrow" w:hAnsi="Arial Narrow"/>
                <w:sz w:val="20"/>
                <w:szCs w:val="20"/>
                <w:u w:val="single"/>
              </w:rPr>
            </w:pPr>
          </w:p>
        </w:tc>
        <w:tc>
          <w:tcPr>
            <w:tcW w:w="6581" w:type="dxa"/>
            <w:shd w:val="clear" w:color="auto" w:fill="auto"/>
            <w:vAlign w:val="center"/>
          </w:tcPr>
          <w:p>
            <w:pPr>
              <w:pStyle w:val="29"/>
              <w:numPr>
                <w:ilvl w:val="0"/>
                <w:numId w:val="13"/>
              </w:numPr>
              <w:tabs>
                <w:tab w:val="left" w:pos="432"/>
              </w:tabs>
              <w:ind w:left="-14" w:firstLine="180"/>
              <w:rPr>
                <w:rFonts w:ascii="Arial Narrow" w:hAnsi="Arial Narrow" w:cs="Angsana New"/>
                <w:sz w:val="20"/>
                <w:szCs w:val="20"/>
              </w:rPr>
            </w:pPr>
            <w:r>
              <w:rPr>
                <w:rFonts w:ascii="Arial Narrow" w:hAnsi="Arial Narrow" w:cs="Angsana New"/>
                <w:sz w:val="20"/>
                <w:szCs w:val="20"/>
              </w:rPr>
              <w:t>Numărul de măsuri de intervenție</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748" w:type="dxa"/>
            <w:vMerge w:val="restart"/>
            <w:shd w:val="clear" w:color="auto" w:fill="auto"/>
          </w:tcPr>
          <w:p>
            <w:pPr>
              <w:pStyle w:val="29"/>
              <w:numPr>
                <w:ilvl w:val="0"/>
                <w:numId w:val="1"/>
              </w:numPr>
              <w:jc w:val="center"/>
              <w:rPr>
                <w:rFonts w:ascii="Arial Narrow" w:hAnsi="Arial Narrow"/>
                <w:sz w:val="20"/>
                <w:szCs w:val="20"/>
              </w:rPr>
            </w:pPr>
          </w:p>
        </w:tc>
        <w:tc>
          <w:tcPr>
            <w:tcW w:w="1883" w:type="dxa"/>
            <w:vMerge w:val="restart"/>
            <w:shd w:val="clear" w:color="auto" w:fill="auto"/>
            <w:vAlign w:val="center"/>
          </w:tcPr>
          <w:p>
            <w:pPr>
              <w:jc w:val="center"/>
              <w:rPr>
                <w:rFonts w:ascii="Arial Narrow" w:hAnsi="Arial Narrow"/>
                <w:b/>
                <w:bCs/>
                <w:sz w:val="20"/>
                <w:szCs w:val="20"/>
              </w:rPr>
            </w:pPr>
            <w:r>
              <w:rPr>
                <w:rFonts w:ascii="Arial Narrow" w:hAnsi="Arial Narrow"/>
                <w:b/>
                <w:bCs/>
                <w:sz w:val="20"/>
                <w:szCs w:val="20"/>
              </w:rPr>
              <w:t>Evaluarea incidentelor de integritate în cadrul autorităţilor şi instituţiilor publice centrale şi locale</w:t>
            </w:r>
          </w:p>
        </w:tc>
        <w:tc>
          <w:tcPr>
            <w:tcW w:w="5760" w:type="dxa"/>
            <w:vMerge w:val="restart"/>
            <w:shd w:val="clear" w:color="auto" w:fill="auto"/>
            <w:vAlign w:val="center"/>
          </w:tcPr>
          <w:p>
            <w:pPr>
              <w:jc w:val="both"/>
              <w:rPr>
                <w:rFonts w:ascii="Arial Narrow" w:hAnsi="Arial Narrow"/>
                <w:sz w:val="20"/>
                <w:szCs w:val="20"/>
              </w:rPr>
            </w:pPr>
            <w:r>
              <w:rPr>
                <w:rStyle w:val="31"/>
                <w:rFonts w:ascii="Arial Narrow" w:hAnsi="Arial Narrow"/>
                <w:sz w:val="20"/>
                <w:szCs w:val="20"/>
              </w:rPr>
              <w:t>Hotărârea Guvernului nr. 599/2018 pentru aprobarea Metodologiei standard de evaluare a riscurilor de corupţie în cadrul autorităţilor şi instituţiilor publice centrale, împreună cu indicatorii de estimare a probabilităţii de materializare a riscurilor de corupţie, cu indicatorii de estimare a impactului în situaţia materializării riscurilor de corupţie şi formatul registrului riscurilor de corupţie, precum şi pentru aprobarea Metodologiei de evaluare a incidentelor de integritate în cadrul autorităţilor şi instituţiilor publice centrale, împreună cu formatul raportului anual de evaluare a incidentelor de integritate</w:t>
            </w:r>
          </w:p>
        </w:tc>
        <w:tc>
          <w:tcPr>
            <w:tcW w:w="6581" w:type="dxa"/>
            <w:shd w:val="clear" w:color="auto" w:fill="auto"/>
            <w:vAlign w:val="center"/>
          </w:tcPr>
          <w:p>
            <w:pPr>
              <w:pStyle w:val="29"/>
              <w:numPr>
                <w:ilvl w:val="0"/>
                <w:numId w:val="14"/>
              </w:numPr>
              <w:tabs>
                <w:tab w:val="left" w:pos="256"/>
                <w:tab w:val="left" w:pos="432"/>
              </w:tabs>
              <w:ind w:left="616"/>
              <w:rPr>
                <w:rFonts w:ascii="Arial Narrow" w:hAnsi="Arial Narrow"/>
                <w:sz w:val="20"/>
                <w:szCs w:val="20"/>
              </w:rPr>
            </w:pPr>
            <w:r>
              <w:rPr>
                <w:rFonts w:ascii="Arial Narrow" w:hAnsi="Arial Narrow"/>
                <w:sz w:val="20"/>
                <w:szCs w:val="20"/>
              </w:rPr>
              <w:t>Numărul de incidente de integritate</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jc w:val="center"/>
              <w:rPr>
                <w:rFonts w:ascii="Arial Narrow" w:hAnsi="Arial Narrow"/>
                <w:sz w:val="20"/>
                <w:szCs w:val="20"/>
              </w:rPr>
            </w:pPr>
          </w:p>
        </w:tc>
        <w:tc>
          <w:tcPr>
            <w:tcW w:w="1883" w:type="dxa"/>
            <w:vMerge w:val="continue"/>
            <w:shd w:val="clear" w:color="auto" w:fill="auto"/>
          </w:tcPr>
          <w:p>
            <w:pPr>
              <w:jc w:val="center"/>
              <w:rPr>
                <w:rFonts w:ascii="Arial Narrow" w:hAnsi="Arial Narrow"/>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vAlign w:val="center"/>
          </w:tcPr>
          <w:p>
            <w:pPr>
              <w:pStyle w:val="29"/>
              <w:numPr>
                <w:ilvl w:val="0"/>
                <w:numId w:val="14"/>
              </w:numPr>
              <w:tabs>
                <w:tab w:val="left" w:pos="256"/>
                <w:tab w:val="left" w:pos="432"/>
              </w:tabs>
              <w:ind w:left="432" w:hanging="176"/>
              <w:rPr>
                <w:rFonts w:ascii="Arial Narrow" w:hAnsi="Arial Narrow"/>
                <w:sz w:val="20"/>
                <w:szCs w:val="20"/>
              </w:rPr>
            </w:pPr>
            <w:r>
              <w:rPr>
                <w:rFonts w:ascii="Arial Narrow" w:hAnsi="Arial Narrow"/>
                <w:sz w:val="20"/>
                <w:szCs w:val="20"/>
              </w:rPr>
              <w:t>Numărul persoanelor cu funcţii de conducere care au săvârşit incidente de integritate</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748" w:type="dxa"/>
            <w:vMerge w:val="continue"/>
            <w:shd w:val="clear" w:color="auto" w:fill="auto"/>
          </w:tcPr>
          <w:p>
            <w:pPr>
              <w:jc w:val="center"/>
              <w:rPr>
                <w:rFonts w:ascii="Arial Narrow" w:hAnsi="Arial Narrow"/>
                <w:sz w:val="20"/>
                <w:szCs w:val="20"/>
              </w:rPr>
            </w:pPr>
          </w:p>
        </w:tc>
        <w:tc>
          <w:tcPr>
            <w:tcW w:w="1883" w:type="dxa"/>
            <w:vMerge w:val="continue"/>
            <w:shd w:val="clear" w:color="auto" w:fill="auto"/>
          </w:tcPr>
          <w:p>
            <w:pPr>
              <w:jc w:val="center"/>
              <w:rPr>
                <w:rFonts w:ascii="Arial Narrow" w:hAnsi="Arial Narrow"/>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vAlign w:val="center"/>
          </w:tcPr>
          <w:p>
            <w:pPr>
              <w:pStyle w:val="29"/>
              <w:numPr>
                <w:ilvl w:val="0"/>
                <w:numId w:val="14"/>
              </w:numPr>
              <w:tabs>
                <w:tab w:val="left" w:pos="256"/>
                <w:tab w:val="left" w:pos="432"/>
              </w:tabs>
              <w:ind w:left="432" w:hanging="176"/>
              <w:rPr>
                <w:rFonts w:ascii="Arial Narrow" w:hAnsi="Arial Narrow"/>
                <w:sz w:val="20"/>
                <w:szCs w:val="20"/>
              </w:rPr>
            </w:pPr>
            <w:r>
              <w:rPr>
                <w:rFonts w:ascii="Arial Narrow" w:hAnsi="Arial Narrow"/>
                <w:sz w:val="20"/>
                <w:szCs w:val="20"/>
              </w:rPr>
              <w:t>Numărul persoanelor cu funcţii de execuţie care au săvârşit incidente de integritate</w:t>
            </w:r>
          </w:p>
        </w:tc>
        <w:tc>
          <w:tcPr>
            <w:tcW w:w="1083" w:type="dxa"/>
          </w:tcPr>
          <w:p>
            <w:pPr>
              <w:jc w:val="right"/>
            </w:pPr>
            <w:r>
              <w:rPr>
                <w:rFonts w:ascii="Arial Narrow" w:hAnsi="Arial Narrow"/>
                <w:iCs/>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48" w:type="dxa"/>
            <w:vMerge w:val="continue"/>
            <w:shd w:val="clear" w:color="auto" w:fill="auto"/>
          </w:tcPr>
          <w:p>
            <w:pPr>
              <w:jc w:val="center"/>
              <w:rPr>
                <w:rFonts w:ascii="Arial Narrow" w:hAnsi="Arial Narrow"/>
                <w:sz w:val="20"/>
                <w:szCs w:val="20"/>
              </w:rPr>
            </w:pPr>
          </w:p>
        </w:tc>
        <w:tc>
          <w:tcPr>
            <w:tcW w:w="1883" w:type="dxa"/>
            <w:vMerge w:val="continue"/>
            <w:shd w:val="clear" w:color="auto" w:fill="auto"/>
          </w:tcPr>
          <w:p>
            <w:pPr>
              <w:jc w:val="center"/>
              <w:rPr>
                <w:rFonts w:ascii="Arial Narrow" w:hAnsi="Arial Narrow"/>
                <w:sz w:val="20"/>
                <w:szCs w:val="20"/>
              </w:rPr>
            </w:pPr>
          </w:p>
        </w:tc>
        <w:tc>
          <w:tcPr>
            <w:tcW w:w="5760" w:type="dxa"/>
            <w:vMerge w:val="continue"/>
            <w:shd w:val="clear" w:color="auto" w:fill="auto"/>
          </w:tcPr>
          <w:p>
            <w:pPr>
              <w:jc w:val="both"/>
              <w:rPr>
                <w:rFonts w:ascii="Arial Narrow" w:hAnsi="Arial Narrow"/>
                <w:sz w:val="20"/>
                <w:szCs w:val="20"/>
              </w:rPr>
            </w:pPr>
          </w:p>
        </w:tc>
        <w:tc>
          <w:tcPr>
            <w:tcW w:w="6581" w:type="dxa"/>
            <w:shd w:val="clear" w:color="auto" w:fill="auto"/>
            <w:vAlign w:val="center"/>
          </w:tcPr>
          <w:p>
            <w:pPr>
              <w:pStyle w:val="29"/>
              <w:numPr>
                <w:ilvl w:val="0"/>
                <w:numId w:val="14"/>
              </w:numPr>
              <w:tabs>
                <w:tab w:val="left" w:pos="256"/>
                <w:tab w:val="left" w:pos="432"/>
              </w:tabs>
              <w:ind w:left="616"/>
              <w:rPr>
                <w:rFonts w:ascii="Arial Narrow" w:hAnsi="Arial Narrow"/>
                <w:sz w:val="20"/>
                <w:szCs w:val="20"/>
              </w:rPr>
            </w:pPr>
            <w:r>
              <w:rPr>
                <w:rFonts w:ascii="Arial Narrow" w:hAnsi="Arial Narrow"/>
                <w:sz w:val="20"/>
                <w:szCs w:val="20"/>
              </w:rPr>
              <w:t>Numărul de măsuri de control implementate</w:t>
            </w:r>
          </w:p>
        </w:tc>
        <w:tc>
          <w:tcPr>
            <w:tcW w:w="1083" w:type="dxa"/>
          </w:tcPr>
          <w:p>
            <w:pPr>
              <w:jc w:val="right"/>
            </w:pPr>
            <w:r>
              <w:rPr>
                <w:rFonts w:ascii="Arial Narrow" w:hAnsi="Arial Narrow"/>
                <w:iCs/>
                <w:sz w:val="20"/>
                <w:szCs w:val="20"/>
              </w:rPr>
              <w:t>0</w:t>
            </w:r>
          </w:p>
        </w:tc>
      </w:tr>
    </w:tbl>
    <w:p>
      <w:pPr>
        <w:jc w:val="both"/>
        <w:rPr>
          <w:rFonts w:ascii="Arial Narrow" w:hAnsi="Arial Narrow"/>
          <w:sz w:val="20"/>
          <w:szCs w:val="20"/>
        </w:rPr>
      </w:pPr>
    </w:p>
    <w:p>
      <w:pPr>
        <w:jc w:val="both"/>
        <w:rPr>
          <w:rFonts w:ascii="Arial Narrow" w:hAnsi="Arial Narrow"/>
          <w:sz w:val="20"/>
          <w:szCs w:val="20"/>
        </w:rPr>
      </w:pPr>
      <w:r>
        <w:rPr>
          <w:rFonts w:ascii="Arial Narrow" w:hAnsi="Arial Narrow"/>
          <w:sz w:val="20"/>
          <w:szCs w:val="20"/>
        </w:rPr>
        <w:t>Nr. înreg. Data:  9.03.2023</w:t>
      </w:r>
    </w:p>
    <w:p>
      <w:pPr>
        <w:tabs>
          <w:tab w:val="left" w:pos="12735"/>
        </w:tabs>
        <w:jc w:val="center"/>
        <w:rPr>
          <w:rFonts w:ascii="Arial Narrow" w:hAnsi="Arial Narrow"/>
          <w:b/>
          <w:bCs/>
          <w:sz w:val="20"/>
          <w:szCs w:val="20"/>
        </w:rPr>
      </w:pPr>
    </w:p>
    <w:p>
      <w:pPr>
        <w:tabs>
          <w:tab w:val="left" w:pos="12735"/>
        </w:tabs>
        <w:rPr>
          <w:rFonts w:ascii="Arial Narrow" w:hAnsi="Arial Narrow"/>
          <w:b/>
          <w:bCs/>
          <w:sz w:val="20"/>
          <w:szCs w:val="20"/>
        </w:rPr>
      </w:pPr>
      <w:r>
        <w:rPr>
          <w:rFonts w:ascii="Arial Narrow" w:hAnsi="Arial Narrow"/>
          <w:b/>
          <w:bCs/>
          <w:sz w:val="20"/>
          <w:szCs w:val="20"/>
        </w:rPr>
        <w:t xml:space="preserve">          Întocmit, Secretar general al comunei,</w:t>
      </w:r>
      <w:r>
        <w:rPr>
          <w:rFonts w:ascii="Arial Narrow" w:hAnsi="Arial Narrow"/>
          <w:b/>
          <w:bCs/>
          <w:sz w:val="20"/>
          <w:szCs w:val="20"/>
        </w:rPr>
        <w:tab/>
      </w:r>
      <w:r>
        <w:rPr>
          <w:rFonts w:ascii="Arial Narrow" w:hAnsi="Arial Narrow"/>
          <w:b/>
          <w:bCs/>
          <w:sz w:val="20"/>
          <w:szCs w:val="20"/>
        </w:rPr>
        <w:t xml:space="preserve">            Primar,</w:t>
      </w:r>
    </w:p>
    <w:p>
      <w:pPr>
        <w:tabs>
          <w:tab w:val="left" w:pos="12735"/>
        </w:tabs>
        <w:rPr>
          <w:rFonts w:ascii="Arial Narrow" w:hAnsi="Arial Narrow"/>
          <w:bCs/>
          <w:sz w:val="20"/>
          <w:szCs w:val="20"/>
        </w:rPr>
      </w:pPr>
      <w:r>
        <w:rPr>
          <w:rFonts w:ascii="Arial Narrow" w:hAnsi="Arial Narrow"/>
          <w:bCs/>
          <w:sz w:val="20"/>
          <w:szCs w:val="20"/>
        </w:rPr>
        <w:t xml:space="preserve">                        Florin ILĂȘOAIA</w:t>
      </w:r>
      <w:r>
        <w:rPr>
          <w:rFonts w:ascii="Arial Narrow" w:hAnsi="Arial Narrow"/>
          <w:bCs/>
          <w:sz w:val="20"/>
          <w:szCs w:val="20"/>
        </w:rPr>
        <w:tab/>
      </w:r>
      <w:r>
        <w:rPr>
          <w:rFonts w:ascii="Arial Narrow" w:hAnsi="Arial Narrow"/>
          <w:bCs/>
          <w:sz w:val="20"/>
          <w:szCs w:val="20"/>
        </w:rPr>
        <w:t xml:space="preserve">   Mihai DARABANĂ</w:t>
      </w:r>
      <w:r>
        <w:rPr>
          <w:rFonts w:ascii="Arial Narrow" w:hAnsi="Arial Narrow"/>
          <w:bCs/>
          <w:sz w:val="20"/>
          <w:szCs w:val="20"/>
        </w:rPr>
        <w:tab/>
      </w:r>
    </w:p>
    <w:sectPr>
      <w:headerReference r:id="rId4" w:type="default"/>
      <w:footerReference r:id="rId5" w:type="default"/>
      <w:footerReference r:id="rId6" w:type="even"/>
      <w:pgSz w:w="16838" w:h="11906" w:orient="landscape"/>
      <w:pgMar w:top="501" w:right="569" w:bottom="1135" w:left="965" w:header="360" w:footer="0"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onsolas">
    <w:panose1 w:val="020B0609020204030204"/>
    <w:charset w:val="00"/>
    <w:family w:val="modern"/>
    <w:pitch w:val="default"/>
    <w:sig w:usb0="E00006FF" w:usb1="0000FCFF" w:usb2="00000001" w:usb3="00000000" w:csb0="6000019F" w:csb1="DFD70000"/>
  </w:font>
  <w:font w:name="Verdana">
    <w:panose1 w:val="020B0604030504040204"/>
    <w:charset w:val="00"/>
    <w:family w:val="swiss"/>
    <w:pitch w:val="default"/>
    <w:sig w:usb0="A00006FF" w:usb1="4000205B" w:usb2="00000010" w:usb3="00000000" w:csb0="2000019F" w:csb1="00000000"/>
  </w:font>
  <w:font w:name="Arial Narrow">
    <w:panose1 w:val="020B0606020202030204"/>
    <w:charset w:val="00"/>
    <w:family w:val="swiss"/>
    <w:pitch w:val="default"/>
    <w:sig w:usb0="00000287" w:usb1="00000800" w:usb2="00000000" w:usb3="00000000" w:csb0="2000009F" w:csb1="DFD70000"/>
  </w:font>
  <w:font w:name="Angsana New">
    <w:altName w:val="Microsoft Sans Serif"/>
    <w:panose1 w:val="02020603050405020304"/>
    <w:charset w:val="DE"/>
    <w:family w:val="roman"/>
    <w:pitch w:val="default"/>
    <w:sig w:usb0="00000000" w:usb1="00000000" w:usb2="00000000" w:usb3="00000000" w:csb0="00010000" w:csb1="00000000"/>
  </w:font>
  <w:font w:name="Microsoft Sans Serif">
    <w:panose1 w:val="020B0604020202020204"/>
    <w:charset w:val="00"/>
    <w:family w:val="auto"/>
    <w:pitch w:val="default"/>
    <w:sig w:usb0="E5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5"/>
      <w:tblW w:w="15708" w:type="dxa"/>
      <w:tblInd w:w="-266" w:type="dxa"/>
      <w:tblLayout w:type="autofit"/>
      <w:tblCellMar>
        <w:top w:w="0" w:type="dxa"/>
        <w:left w:w="108" w:type="dxa"/>
        <w:bottom w:w="0" w:type="dxa"/>
        <w:right w:w="108" w:type="dxa"/>
      </w:tblCellMar>
    </w:tblPr>
    <w:tblGrid>
      <w:gridCol w:w="5022"/>
      <w:gridCol w:w="5022"/>
      <w:gridCol w:w="5664"/>
    </w:tblGrid>
    <w:tr>
      <w:tblPrEx>
        <w:tblCellMar>
          <w:top w:w="0" w:type="dxa"/>
          <w:left w:w="108" w:type="dxa"/>
          <w:bottom w:w="0" w:type="dxa"/>
          <w:right w:w="108" w:type="dxa"/>
        </w:tblCellMar>
      </w:tblPrEx>
      <w:trPr>
        <w:trHeight w:val="440" w:hRule="atLeast"/>
      </w:trPr>
      <w:tc>
        <w:tcPr>
          <w:tcW w:w="5022" w:type="dxa"/>
          <w:shd w:val="clear" w:color="auto" w:fill="auto"/>
          <w:vAlign w:val="center"/>
        </w:tcPr>
        <w:p>
          <w:pPr>
            <w:pStyle w:val="11"/>
            <w:ind w:left="-108" w:right="360" w:firstLine="108"/>
            <w:rPr>
              <w:rFonts w:ascii="Arial" w:hAnsi="Arial" w:cs="Arial"/>
              <w:b/>
              <w:color w:val="003366"/>
              <w:sz w:val="16"/>
              <w:szCs w:val="16"/>
              <w:lang w:val="es-ES"/>
            </w:rPr>
          </w:pPr>
        </w:p>
      </w:tc>
      <w:tc>
        <w:tcPr>
          <w:tcW w:w="5022" w:type="dxa"/>
          <w:tcBorders>
            <w:left w:val="nil"/>
          </w:tcBorders>
          <w:shd w:val="clear" w:color="auto" w:fill="auto"/>
          <w:vAlign w:val="center"/>
        </w:tcPr>
        <w:p>
          <w:pPr>
            <w:pStyle w:val="11"/>
            <w:jc w:val="center"/>
            <w:rPr>
              <w:rFonts w:ascii="Arial" w:hAnsi="Arial" w:cs="Arial"/>
              <w:b/>
              <w:color w:val="003366"/>
              <w:sz w:val="16"/>
              <w:szCs w:val="16"/>
            </w:rPr>
          </w:pPr>
        </w:p>
      </w:tc>
      <w:tc>
        <w:tcPr>
          <w:tcW w:w="5664" w:type="dxa"/>
          <w:shd w:val="clear" w:color="auto" w:fill="auto"/>
          <w:vAlign w:val="center"/>
        </w:tcPr>
        <w:p>
          <w:pPr>
            <w:pStyle w:val="11"/>
            <w:jc w:val="right"/>
            <w:rPr>
              <w:rFonts w:ascii="Arial" w:hAnsi="Arial" w:cs="Arial"/>
              <w:sz w:val="16"/>
              <w:szCs w:val="16"/>
              <w:lang w:val="es-ES"/>
            </w:rPr>
          </w:pPr>
        </w:p>
      </w:tc>
    </w:tr>
  </w:tbl>
  <w:p>
    <w:pPr>
      <w:pStyle w:val="11"/>
      <w:rPr>
        <w:lang w:val="es-E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right" w:y="1"/>
      <w:rPr>
        <w:rStyle w:val="16"/>
      </w:rPr>
    </w:pPr>
    <w:r>
      <w:rPr>
        <w:rStyle w:val="16"/>
      </w:rPr>
      <w:fldChar w:fldCharType="begin"/>
    </w:r>
    <w:r>
      <w:rPr>
        <w:rStyle w:val="16"/>
      </w:rPr>
      <w:instrText xml:space="preserve">PAGE  </w:instrText>
    </w:r>
    <w:r>
      <w:rPr>
        <w:rStyle w:val="16"/>
      </w:rPr>
      <w:fldChar w:fldCharType="end"/>
    </w:r>
  </w:p>
  <w:p>
    <w:pPr>
      <w:pStyle w:val="11"/>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pPr>
        <w:pStyle w:val="13"/>
        <w:rPr>
          <w:rFonts w:ascii="Arial Narrow" w:hAnsi="Arial Narrow"/>
          <w:color w:val="FF0000"/>
        </w:rPr>
      </w:pPr>
      <w:r>
        <w:rPr>
          <w:rStyle w:val="12"/>
          <w:rFonts w:ascii="Arial Narrow" w:hAnsi="Arial Narrow"/>
        </w:rPr>
        <w:footnoteRef/>
      </w:r>
      <w:r>
        <w:rPr>
          <w:rFonts w:ascii="Arial Narrow" w:hAnsi="Arial Narrow"/>
        </w:rPr>
        <w:t xml:space="preserve"> Indicatori minimali care măsoară, din punct de vedere cantitativ și calitativ, gradul de implementare a standardelor legale de integritate.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rPr>
        <w:rFonts w:ascii="Arial Narrow" w:hAnsi="Arial Narrow"/>
        <w:b/>
        <w:sz w:val="22"/>
        <w:szCs w:val="22"/>
      </w:rPr>
    </w:pPr>
    <w:r>
      <w:rPr>
        <w:rFonts w:ascii="Arial Narrow" w:hAnsi="Arial Narrow"/>
        <w:b/>
        <w:sz w:val="22"/>
        <w:szCs w:val="22"/>
      </w:rPr>
      <w:t>Anexa nr. 3 la HG nr.1269/2021 – SNA 2021-2025</w:t>
    </w:r>
  </w:p>
  <w:p>
    <w:pPr>
      <w:rPr>
        <w:rFonts w:hint="default" w:ascii="Arial Narrow" w:hAnsi="Arial Narrow"/>
        <w:b/>
        <w:sz w:val="22"/>
        <w:szCs w:val="22"/>
        <w:lang w:val="ro-RO"/>
      </w:rPr>
    </w:pPr>
    <w:r>
      <w:rPr>
        <w:rFonts w:ascii="Arial Narrow" w:hAnsi="Arial Narrow"/>
        <w:b/>
        <w:sz w:val="22"/>
        <w:szCs w:val="22"/>
      </w:rPr>
      <w:t xml:space="preserve">Comuna </w:t>
    </w:r>
    <w:r>
      <w:rPr>
        <w:rFonts w:hint="default" w:ascii="Arial Narrow" w:hAnsi="Arial Narrow"/>
        <w:b/>
        <w:sz w:val="22"/>
        <w:szCs w:val="22"/>
        <w:lang w:val="ro-RO"/>
      </w:rPr>
      <w:t>Grădiștea</w:t>
    </w:r>
  </w:p>
  <w:p>
    <w:pPr>
      <w:rPr>
        <w:rFonts w:hint="default" w:ascii="Arial Narrow" w:hAnsi="Arial Narrow"/>
        <w:b/>
        <w:sz w:val="22"/>
        <w:szCs w:val="22"/>
        <w:lang w:val="ro-RO"/>
      </w:rPr>
    </w:pPr>
    <w:r>
      <w:rPr>
        <w:rFonts w:ascii="Arial Narrow" w:hAnsi="Arial Narrow"/>
        <w:b/>
        <w:sz w:val="22"/>
        <w:szCs w:val="22"/>
      </w:rPr>
      <w:t xml:space="preserve">Județul </w:t>
    </w:r>
    <w:r>
      <w:rPr>
        <w:rFonts w:hint="default" w:ascii="Arial Narrow" w:hAnsi="Arial Narrow"/>
        <w:b/>
        <w:sz w:val="22"/>
        <w:szCs w:val="22"/>
        <w:lang w:val="ro-RO"/>
      </w:rPr>
      <w:t>Vâlcea</w:t>
    </w:r>
  </w:p>
  <w:p>
    <w:pPr>
      <w:jc w:val="center"/>
      <w:rPr>
        <w:rFonts w:ascii="Arial Narrow" w:hAnsi="Arial Narrow"/>
        <w:b/>
        <w:sz w:val="22"/>
        <w:szCs w:val="22"/>
      </w:rPr>
    </w:pPr>
    <w:r>
      <w:rPr>
        <w:rFonts w:ascii="Arial Narrow" w:hAnsi="Arial Narrow"/>
        <w:b/>
        <w:sz w:val="22"/>
        <w:szCs w:val="22"/>
      </w:rPr>
      <w:t>INVENTARUL MĂSURILOR PREVENTIVE, PRECUM ȘI INDICATORII DE EVALUARE</w:t>
    </w:r>
  </w:p>
  <w:p>
    <w:pPr>
      <w:tabs>
        <w:tab w:val="left" w:pos="14513"/>
      </w:tabs>
      <w:rPr>
        <w:rFonts w:ascii="Arial Narrow" w:hAnsi="Arial Narrow"/>
        <w:b/>
        <w:sz w:val="22"/>
        <w:szCs w:val="22"/>
      </w:rPr>
    </w:pPr>
    <w:r>
      <w:rPr>
        <w:rFonts w:ascii="Arial Narrow" w:hAnsi="Arial Narrow"/>
        <w:b/>
        <w:sz w:val="22"/>
        <w:szCs w:val="22"/>
      </w:rPr>
      <w:tab/>
    </w:r>
  </w:p>
  <w:p>
    <w:pPr>
      <w:jc w:val="center"/>
      <w:rPr>
        <w:b/>
        <w:sz w:val="22"/>
        <w:szCs w:val="22"/>
      </w:rPr>
    </w:pPr>
    <w:r>
      <w:rPr>
        <w:b/>
        <w:sz w:val="22"/>
        <w:szCs w:val="22"/>
      </w:rPr>
      <w:drawing>
        <wp:inline distT="0" distB="0" distL="114300" distR="114300">
          <wp:extent cx="9982200" cy="597217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
                  <a:stretch>
                    <a:fillRect/>
                  </a:stretch>
                </pic:blipFill>
                <pic:spPr>
                  <a:xfrm>
                    <a:off x="0" y="0"/>
                    <a:ext cx="9982200" cy="59721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DA2E64"/>
    <w:multiLevelType w:val="multilevel"/>
    <w:tmpl w:val="05DA2E64"/>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091B08E3"/>
    <w:multiLevelType w:val="multilevel"/>
    <w:tmpl w:val="091B08E3"/>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23936CF3"/>
    <w:multiLevelType w:val="multilevel"/>
    <w:tmpl w:val="23936CF3"/>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265C60DA"/>
    <w:multiLevelType w:val="multilevel"/>
    <w:tmpl w:val="265C60DA"/>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2FCC5E27"/>
    <w:multiLevelType w:val="multilevel"/>
    <w:tmpl w:val="2FCC5E27"/>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308F0D92"/>
    <w:multiLevelType w:val="multilevel"/>
    <w:tmpl w:val="308F0D92"/>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492436AE"/>
    <w:multiLevelType w:val="multilevel"/>
    <w:tmpl w:val="492436AE"/>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4D7E182A"/>
    <w:multiLevelType w:val="multilevel"/>
    <w:tmpl w:val="4D7E182A"/>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50BB54A4"/>
    <w:multiLevelType w:val="multilevel"/>
    <w:tmpl w:val="50BB54A4"/>
    <w:lvl w:ilvl="0" w:tentative="0">
      <w:start w:val="1"/>
      <w:numFmt w:val="decimal"/>
      <w:lvlText w:val="%1."/>
      <w:lvlJc w:val="left"/>
      <w:pPr>
        <w:ind w:left="960" w:hanging="360"/>
      </w:pPr>
      <w:rPr>
        <w:rFonts w:hint="default"/>
      </w:rPr>
    </w:lvl>
    <w:lvl w:ilvl="1" w:tentative="0">
      <w:start w:val="1"/>
      <w:numFmt w:val="lowerLetter"/>
      <w:lvlText w:val="%2."/>
      <w:lvlJc w:val="left"/>
      <w:pPr>
        <w:ind w:left="1680" w:hanging="360"/>
      </w:pPr>
    </w:lvl>
    <w:lvl w:ilvl="2" w:tentative="0">
      <w:start w:val="1"/>
      <w:numFmt w:val="lowerRoman"/>
      <w:lvlText w:val="%3."/>
      <w:lvlJc w:val="right"/>
      <w:pPr>
        <w:ind w:left="2400" w:hanging="180"/>
      </w:pPr>
    </w:lvl>
    <w:lvl w:ilvl="3" w:tentative="0">
      <w:start w:val="1"/>
      <w:numFmt w:val="decimal"/>
      <w:lvlText w:val="%4."/>
      <w:lvlJc w:val="left"/>
      <w:pPr>
        <w:ind w:left="3120" w:hanging="360"/>
      </w:pPr>
    </w:lvl>
    <w:lvl w:ilvl="4" w:tentative="0">
      <w:start w:val="1"/>
      <w:numFmt w:val="lowerLetter"/>
      <w:lvlText w:val="%5."/>
      <w:lvlJc w:val="left"/>
      <w:pPr>
        <w:ind w:left="3840" w:hanging="360"/>
      </w:pPr>
    </w:lvl>
    <w:lvl w:ilvl="5" w:tentative="0">
      <w:start w:val="1"/>
      <w:numFmt w:val="lowerRoman"/>
      <w:lvlText w:val="%6."/>
      <w:lvlJc w:val="right"/>
      <w:pPr>
        <w:ind w:left="4560" w:hanging="180"/>
      </w:pPr>
    </w:lvl>
    <w:lvl w:ilvl="6" w:tentative="0">
      <w:start w:val="1"/>
      <w:numFmt w:val="decimal"/>
      <w:lvlText w:val="%7."/>
      <w:lvlJc w:val="left"/>
      <w:pPr>
        <w:ind w:left="5280" w:hanging="360"/>
      </w:pPr>
    </w:lvl>
    <w:lvl w:ilvl="7" w:tentative="0">
      <w:start w:val="1"/>
      <w:numFmt w:val="lowerLetter"/>
      <w:lvlText w:val="%8."/>
      <w:lvlJc w:val="left"/>
      <w:pPr>
        <w:ind w:left="6000" w:hanging="360"/>
      </w:pPr>
    </w:lvl>
    <w:lvl w:ilvl="8" w:tentative="0">
      <w:start w:val="1"/>
      <w:numFmt w:val="lowerRoman"/>
      <w:lvlText w:val="%9."/>
      <w:lvlJc w:val="right"/>
      <w:pPr>
        <w:ind w:left="6720" w:hanging="180"/>
      </w:pPr>
    </w:lvl>
  </w:abstractNum>
  <w:abstractNum w:abstractNumId="9">
    <w:nsid w:val="5DCF1630"/>
    <w:multiLevelType w:val="multilevel"/>
    <w:tmpl w:val="5DCF1630"/>
    <w:lvl w:ilvl="0" w:tentative="0">
      <w:start w:val="2"/>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0">
    <w:nsid w:val="63A61E65"/>
    <w:multiLevelType w:val="multilevel"/>
    <w:tmpl w:val="63A61E6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63E3525F"/>
    <w:multiLevelType w:val="multilevel"/>
    <w:tmpl w:val="63E3525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714F4393"/>
    <w:multiLevelType w:val="multilevel"/>
    <w:tmpl w:val="714F4393"/>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76317B88"/>
    <w:multiLevelType w:val="multilevel"/>
    <w:tmpl w:val="76317B88"/>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3"/>
  </w:num>
  <w:num w:numId="2">
    <w:abstractNumId w:val="4"/>
  </w:num>
  <w:num w:numId="3">
    <w:abstractNumId w:val="6"/>
  </w:num>
  <w:num w:numId="4">
    <w:abstractNumId w:val="9"/>
  </w:num>
  <w:num w:numId="5">
    <w:abstractNumId w:val="0"/>
  </w:num>
  <w:num w:numId="6">
    <w:abstractNumId w:val="5"/>
  </w:num>
  <w:num w:numId="7">
    <w:abstractNumId w:val="1"/>
  </w:num>
  <w:num w:numId="8">
    <w:abstractNumId w:val="3"/>
  </w:num>
  <w:num w:numId="9">
    <w:abstractNumId w:val="11"/>
  </w:num>
  <w:num w:numId="10">
    <w:abstractNumId w:val="2"/>
  </w:num>
  <w:num w:numId="11">
    <w:abstractNumId w:val="7"/>
  </w:num>
  <w:num w:numId="12">
    <w:abstractNumId w:val="12"/>
  </w:num>
  <w:num w:numId="13">
    <w:abstractNumId w:val="1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5"/>
  <w:documentProtection w:enforcement="0"/>
  <w:defaultTabStop w:val="708"/>
  <w:hyphenationZone w:val="425"/>
  <w:drawingGridHorizontalSpacing w:val="187"/>
  <w:displayVerticalDrawingGridEvery w:val="2"/>
  <w:characterSpacingControl w:val="doNotCompress"/>
  <w:footnotePr>
    <w:footnote w:id="2"/>
    <w:footnote w:id="3"/>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4F70"/>
    <w:rsid w:val="000007DD"/>
    <w:rsid w:val="00002F18"/>
    <w:rsid w:val="000034A5"/>
    <w:rsid w:val="000038BC"/>
    <w:rsid w:val="00003D4B"/>
    <w:rsid w:val="00006617"/>
    <w:rsid w:val="00006DB2"/>
    <w:rsid w:val="000104BB"/>
    <w:rsid w:val="00011C3A"/>
    <w:rsid w:val="000150D9"/>
    <w:rsid w:val="00016136"/>
    <w:rsid w:val="000178F2"/>
    <w:rsid w:val="00017FCB"/>
    <w:rsid w:val="000225C1"/>
    <w:rsid w:val="000246DB"/>
    <w:rsid w:val="00024E8A"/>
    <w:rsid w:val="00024FBF"/>
    <w:rsid w:val="000259E4"/>
    <w:rsid w:val="00026411"/>
    <w:rsid w:val="0002756D"/>
    <w:rsid w:val="00030E59"/>
    <w:rsid w:val="00033868"/>
    <w:rsid w:val="00034668"/>
    <w:rsid w:val="00035D38"/>
    <w:rsid w:val="0003608A"/>
    <w:rsid w:val="00036A12"/>
    <w:rsid w:val="00037D86"/>
    <w:rsid w:val="000406C1"/>
    <w:rsid w:val="00040F43"/>
    <w:rsid w:val="00045BDF"/>
    <w:rsid w:val="00046691"/>
    <w:rsid w:val="000502BD"/>
    <w:rsid w:val="0005226F"/>
    <w:rsid w:val="000529E3"/>
    <w:rsid w:val="00053909"/>
    <w:rsid w:val="0005564D"/>
    <w:rsid w:val="00055C39"/>
    <w:rsid w:val="00056B49"/>
    <w:rsid w:val="00057B7D"/>
    <w:rsid w:val="00060D41"/>
    <w:rsid w:val="00061E18"/>
    <w:rsid w:val="00062705"/>
    <w:rsid w:val="000630BE"/>
    <w:rsid w:val="00063255"/>
    <w:rsid w:val="000642FC"/>
    <w:rsid w:val="000701A2"/>
    <w:rsid w:val="00070610"/>
    <w:rsid w:val="00071657"/>
    <w:rsid w:val="00071C52"/>
    <w:rsid w:val="000729DD"/>
    <w:rsid w:val="00072E90"/>
    <w:rsid w:val="000733E1"/>
    <w:rsid w:val="00073619"/>
    <w:rsid w:val="00075416"/>
    <w:rsid w:val="000809E3"/>
    <w:rsid w:val="00080F25"/>
    <w:rsid w:val="00082009"/>
    <w:rsid w:val="0008287A"/>
    <w:rsid w:val="000839E9"/>
    <w:rsid w:val="000908F0"/>
    <w:rsid w:val="00094283"/>
    <w:rsid w:val="00094885"/>
    <w:rsid w:val="00094EA3"/>
    <w:rsid w:val="00095704"/>
    <w:rsid w:val="00095CE2"/>
    <w:rsid w:val="00096017"/>
    <w:rsid w:val="000A22BD"/>
    <w:rsid w:val="000A54E6"/>
    <w:rsid w:val="000A559A"/>
    <w:rsid w:val="000A664F"/>
    <w:rsid w:val="000B1A9D"/>
    <w:rsid w:val="000B1D32"/>
    <w:rsid w:val="000B2598"/>
    <w:rsid w:val="000B6EA5"/>
    <w:rsid w:val="000C1571"/>
    <w:rsid w:val="000C1764"/>
    <w:rsid w:val="000C424E"/>
    <w:rsid w:val="000C498C"/>
    <w:rsid w:val="000D2811"/>
    <w:rsid w:val="000D3B6F"/>
    <w:rsid w:val="000E30D0"/>
    <w:rsid w:val="000E3185"/>
    <w:rsid w:val="000E3EDD"/>
    <w:rsid w:val="000E6CB9"/>
    <w:rsid w:val="000E741F"/>
    <w:rsid w:val="000E78E3"/>
    <w:rsid w:val="000F0196"/>
    <w:rsid w:val="000F070A"/>
    <w:rsid w:val="000F0972"/>
    <w:rsid w:val="000F1745"/>
    <w:rsid w:val="000F19B8"/>
    <w:rsid w:val="000F31D8"/>
    <w:rsid w:val="000F6EA6"/>
    <w:rsid w:val="000F74ED"/>
    <w:rsid w:val="000F751D"/>
    <w:rsid w:val="0010085C"/>
    <w:rsid w:val="00103A81"/>
    <w:rsid w:val="00103E67"/>
    <w:rsid w:val="001056BC"/>
    <w:rsid w:val="001061F1"/>
    <w:rsid w:val="001116D6"/>
    <w:rsid w:val="001135D3"/>
    <w:rsid w:val="0011463E"/>
    <w:rsid w:val="00116A3C"/>
    <w:rsid w:val="00117DDA"/>
    <w:rsid w:val="00126919"/>
    <w:rsid w:val="00127815"/>
    <w:rsid w:val="001320D2"/>
    <w:rsid w:val="00132FA4"/>
    <w:rsid w:val="001334B3"/>
    <w:rsid w:val="001338BB"/>
    <w:rsid w:val="0013406F"/>
    <w:rsid w:val="00135BDB"/>
    <w:rsid w:val="00136580"/>
    <w:rsid w:val="001365E6"/>
    <w:rsid w:val="00136751"/>
    <w:rsid w:val="00136FFD"/>
    <w:rsid w:val="00137262"/>
    <w:rsid w:val="0013784E"/>
    <w:rsid w:val="00140C59"/>
    <w:rsid w:val="00141BC2"/>
    <w:rsid w:val="00144E99"/>
    <w:rsid w:val="00147CED"/>
    <w:rsid w:val="00150E80"/>
    <w:rsid w:val="00151CA8"/>
    <w:rsid w:val="00152D42"/>
    <w:rsid w:val="00156489"/>
    <w:rsid w:val="0015659F"/>
    <w:rsid w:val="001568C3"/>
    <w:rsid w:val="001601F9"/>
    <w:rsid w:val="00160650"/>
    <w:rsid w:val="00160D83"/>
    <w:rsid w:val="001613AB"/>
    <w:rsid w:val="00163B91"/>
    <w:rsid w:val="00164585"/>
    <w:rsid w:val="00164923"/>
    <w:rsid w:val="00164BCE"/>
    <w:rsid w:val="00166F41"/>
    <w:rsid w:val="001675CB"/>
    <w:rsid w:val="001748C6"/>
    <w:rsid w:val="00174F7F"/>
    <w:rsid w:val="001758DF"/>
    <w:rsid w:val="00175A70"/>
    <w:rsid w:val="00175E8B"/>
    <w:rsid w:val="00176672"/>
    <w:rsid w:val="00181692"/>
    <w:rsid w:val="001825CC"/>
    <w:rsid w:val="00182F31"/>
    <w:rsid w:val="00185974"/>
    <w:rsid w:val="0018618B"/>
    <w:rsid w:val="00187156"/>
    <w:rsid w:val="00187B89"/>
    <w:rsid w:val="0019047F"/>
    <w:rsid w:val="00190EB6"/>
    <w:rsid w:val="00191DA7"/>
    <w:rsid w:val="0019215B"/>
    <w:rsid w:val="00192C46"/>
    <w:rsid w:val="00194644"/>
    <w:rsid w:val="00194F37"/>
    <w:rsid w:val="001A066C"/>
    <w:rsid w:val="001A4403"/>
    <w:rsid w:val="001A4472"/>
    <w:rsid w:val="001A5E5B"/>
    <w:rsid w:val="001A64AB"/>
    <w:rsid w:val="001A7E1D"/>
    <w:rsid w:val="001B016E"/>
    <w:rsid w:val="001B0CB5"/>
    <w:rsid w:val="001B1309"/>
    <w:rsid w:val="001B17D2"/>
    <w:rsid w:val="001B3DCC"/>
    <w:rsid w:val="001B4E08"/>
    <w:rsid w:val="001B54D9"/>
    <w:rsid w:val="001B5CBC"/>
    <w:rsid w:val="001B7A0F"/>
    <w:rsid w:val="001C0ED3"/>
    <w:rsid w:val="001C1B9F"/>
    <w:rsid w:val="001C2124"/>
    <w:rsid w:val="001C2355"/>
    <w:rsid w:val="001C2BC0"/>
    <w:rsid w:val="001C4AF6"/>
    <w:rsid w:val="001C4EDB"/>
    <w:rsid w:val="001C505F"/>
    <w:rsid w:val="001C6A6F"/>
    <w:rsid w:val="001C7815"/>
    <w:rsid w:val="001D1750"/>
    <w:rsid w:val="001D2382"/>
    <w:rsid w:val="001D2DE3"/>
    <w:rsid w:val="001D3AC2"/>
    <w:rsid w:val="001D40C1"/>
    <w:rsid w:val="001D4483"/>
    <w:rsid w:val="001D4910"/>
    <w:rsid w:val="001D5D5A"/>
    <w:rsid w:val="001E2859"/>
    <w:rsid w:val="001E2FB0"/>
    <w:rsid w:val="001E62AB"/>
    <w:rsid w:val="001E7525"/>
    <w:rsid w:val="001F04A1"/>
    <w:rsid w:val="001F0997"/>
    <w:rsid w:val="001F3D51"/>
    <w:rsid w:val="001F5F6F"/>
    <w:rsid w:val="001F5FEE"/>
    <w:rsid w:val="001F7D46"/>
    <w:rsid w:val="00200240"/>
    <w:rsid w:val="0020391A"/>
    <w:rsid w:val="00204845"/>
    <w:rsid w:val="00204F6D"/>
    <w:rsid w:val="002066D8"/>
    <w:rsid w:val="00210D71"/>
    <w:rsid w:val="002124F3"/>
    <w:rsid w:val="00213E0D"/>
    <w:rsid w:val="00215352"/>
    <w:rsid w:val="00215705"/>
    <w:rsid w:val="00216659"/>
    <w:rsid w:val="0021753E"/>
    <w:rsid w:val="00217659"/>
    <w:rsid w:val="00217B87"/>
    <w:rsid w:val="00217D37"/>
    <w:rsid w:val="00217E1B"/>
    <w:rsid w:val="00223FB1"/>
    <w:rsid w:val="00224364"/>
    <w:rsid w:val="00226CA2"/>
    <w:rsid w:val="00226FDF"/>
    <w:rsid w:val="00227613"/>
    <w:rsid w:val="002315BC"/>
    <w:rsid w:val="00231955"/>
    <w:rsid w:val="00231F73"/>
    <w:rsid w:val="0023308D"/>
    <w:rsid w:val="00234A83"/>
    <w:rsid w:val="00234C47"/>
    <w:rsid w:val="00235237"/>
    <w:rsid w:val="002361BB"/>
    <w:rsid w:val="0023648F"/>
    <w:rsid w:val="002364CA"/>
    <w:rsid w:val="002367E9"/>
    <w:rsid w:val="00236B1F"/>
    <w:rsid w:val="00236E90"/>
    <w:rsid w:val="00240CE6"/>
    <w:rsid w:val="0024151C"/>
    <w:rsid w:val="002415B1"/>
    <w:rsid w:val="00241A01"/>
    <w:rsid w:val="002420A9"/>
    <w:rsid w:val="00243578"/>
    <w:rsid w:val="0024498D"/>
    <w:rsid w:val="00245042"/>
    <w:rsid w:val="00245470"/>
    <w:rsid w:val="0024562C"/>
    <w:rsid w:val="00247083"/>
    <w:rsid w:val="0025349F"/>
    <w:rsid w:val="00254A73"/>
    <w:rsid w:val="00255430"/>
    <w:rsid w:val="00255DFE"/>
    <w:rsid w:val="00256032"/>
    <w:rsid w:val="002564F3"/>
    <w:rsid w:val="00256752"/>
    <w:rsid w:val="00256ADF"/>
    <w:rsid w:val="00265C56"/>
    <w:rsid w:val="002671B3"/>
    <w:rsid w:val="00270E8D"/>
    <w:rsid w:val="00271995"/>
    <w:rsid w:val="00272EEC"/>
    <w:rsid w:val="002753C4"/>
    <w:rsid w:val="002831D4"/>
    <w:rsid w:val="00286538"/>
    <w:rsid w:val="00286BD9"/>
    <w:rsid w:val="0028769D"/>
    <w:rsid w:val="002876D9"/>
    <w:rsid w:val="00287BE1"/>
    <w:rsid w:val="00290AA5"/>
    <w:rsid w:val="00292C4B"/>
    <w:rsid w:val="00293D89"/>
    <w:rsid w:val="00294761"/>
    <w:rsid w:val="00296FC6"/>
    <w:rsid w:val="002A43CD"/>
    <w:rsid w:val="002A60E6"/>
    <w:rsid w:val="002B143E"/>
    <w:rsid w:val="002B2D4F"/>
    <w:rsid w:val="002B323C"/>
    <w:rsid w:val="002B50D5"/>
    <w:rsid w:val="002B5AC1"/>
    <w:rsid w:val="002B60B0"/>
    <w:rsid w:val="002C176D"/>
    <w:rsid w:val="002C1A11"/>
    <w:rsid w:val="002C35B5"/>
    <w:rsid w:val="002C37BD"/>
    <w:rsid w:val="002C71A2"/>
    <w:rsid w:val="002C799C"/>
    <w:rsid w:val="002D1085"/>
    <w:rsid w:val="002D3D27"/>
    <w:rsid w:val="002D3FE5"/>
    <w:rsid w:val="002D417E"/>
    <w:rsid w:val="002D4249"/>
    <w:rsid w:val="002E2614"/>
    <w:rsid w:val="002E30D3"/>
    <w:rsid w:val="002E75F2"/>
    <w:rsid w:val="002F1094"/>
    <w:rsid w:val="00301D45"/>
    <w:rsid w:val="00303B38"/>
    <w:rsid w:val="00304478"/>
    <w:rsid w:val="00304488"/>
    <w:rsid w:val="00304ACA"/>
    <w:rsid w:val="00305265"/>
    <w:rsid w:val="00305605"/>
    <w:rsid w:val="00306852"/>
    <w:rsid w:val="00306B4D"/>
    <w:rsid w:val="00311C8E"/>
    <w:rsid w:val="00311E42"/>
    <w:rsid w:val="003120F6"/>
    <w:rsid w:val="00312219"/>
    <w:rsid w:val="0031308D"/>
    <w:rsid w:val="003130BF"/>
    <w:rsid w:val="0031393C"/>
    <w:rsid w:val="00313B14"/>
    <w:rsid w:val="0031530B"/>
    <w:rsid w:val="00316811"/>
    <w:rsid w:val="003200AD"/>
    <w:rsid w:val="00320793"/>
    <w:rsid w:val="00321AF3"/>
    <w:rsid w:val="00321F91"/>
    <w:rsid w:val="003247E9"/>
    <w:rsid w:val="003258A5"/>
    <w:rsid w:val="00326189"/>
    <w:rsid w:val="0033385D"/>
    <w:rsid w:val="003343BE"/>
    <w:rsid w:val="00340388"/>
    <w:rsid w:val="003417FA"/>
    <w:rsid w:val="00344D28"/>
    <w:rsid w:val="00345AEC"/>
    <w:rsid w:val="00346729"/>
    <w:rsid w:val="00346765"/>
    <w:rsid w:val="0034722A"/>
    <w:rsid w:val="003508E3"/>
    <w:rsid w:val="003513F8"/>
    <w:rsid w:val="003534D5"/>
    <w:rsid w:val="00354224"/>
    <w:rsid w:val="00355B23"/>
    <w:rsid w:val="00356391"/>
    <w:rsid w:val="00362D26"/>
    <w:rsid w:val="00365F99"/>
    <w:rsid w:val="003666A6"/>
    <w:rsid w:val="003666CC"/>
    <w:rsid w:val="00367005"/>
    <w:rsid w:val="003670F3"/>
    <w:rsid w:val="00367D9D"/>
    <w:rsid w:val="003702E6"/>
    <w:rsid w:val="00370ADE"/>
    <w:rsid w:val="0037164A"/>
    <w:rsid w:val="00371819"/>
    <w:rsid w:val="003724D4"/>
    <w:rsid w:val="00372913"/>
    <w:rsid w:val="0037504D"/>
    <w:rsid w:val="00375C2A"/>
    <w:rsid w:val="003804C3"/>
    <w:rsid w:val="003811FC"/>
    <w:rsid w:val="00382CC8"/>
    <w:rsid w:val="0038363D"/>
    <w:rsid w:val="00384071"/>
    <w:rsid w:val="00384BB6"/>
    <w:rsid w:val="00386E45"/>
    <w:rsid w:val="003879CE"/>
    <w:rsid w:val="00387D8F"/>
    <w:rsid w:val="003903E3"/>
    <w:rsid w:val="00392109"/>
    <w:rsid w:val="003924EB"/>
    <w:rsid w:val="00392BF5"/>
    <w:rsid w:val="00393367"/>
    <w:rsid w:val="0039472E"/>
    <w:rsid w:val="0039479B"/>
    <w:rsid w:val="00394F70"/>
    <w:rsid w:val="00395EAB"/>
    <w:rsid w:val="003A1453"/>
    <w:rsid w:val="003A1796"/>
    <w:rsid w:val="003A2817"/>
    <w:rsid w:val="003A2A2A"/>
    <w:rsid w:val="003A596D"/>
    <w:rsid w:val="003A5F17"/>
    <w:rsid w:val="003A6DF5"/>
    <w:rsid w:val="003A7A51"/>
    <w:rsid w:val="003B08BD"/>
    <w:rsid w:val="003B1A77"/>
    <w:rsid w:val="003B3F58"/>
    <w:rsid w:val="003B4891"/>
    <w:rsid w:val="003B57BE"/>
    <w:rsid w:val="003B79E6"/>
    <w:rsid w:val="003C121E"/>
    <w:rsid w:val="003C1B28"/>
    <w:rsid w:val="003C1FAF"/>
    <w:rsid w:val="003C255C"/>
    <w:rsid w:val="003C279C"/>
    <w:rsid w:val="003C2FBF"/>
    <w:rsid w:val="003C32A1"/>
    <w:rsid w:val="003C44E7"/>
    <w:rsid w:val="003C569D"/>
    <w:rsid w:val="003C7936"/>
    <w:rsid w:val="003D08A9"/>
    <w:rsid w:val="003D22D0"/>
    <w:rsid w:val="003D35DD"/>
    <w:rsid w:val="003D40E4"/>
    <w:rsid w:val="003D4DA7"/>
    <w:rsid w:val="003D69B3"/>
    <w:rsid w:val="003E051D"/>
    <w:rsid w:val="003E103B"/>
    <w:rsid w:val="003E5038"/>
    <w:rsid w:val="003E6634"/>
    <w:rsid w:val="003E7972"/>
    <w:rsid w:val="003F2B6D"/>
    <w:rsid w:val="003F372C"/>
    <w:rsid w:val="003F3FDD"/>
    <w:rsid w:val="003F4E44"/>
    <w:rsid w:val="004013EA"/>
    <w:rsid w:val="00402DF0"/>
    <w:rsid w:val="004060E4"/>
    <w:rsid w:val="00406C39"/>
    <w:rsid w:val="00407238"/>
    <w:rsid w:val="00407EA1"/>
    <w:rsid w:val="0041025F"/>
    <w:rsid w:val="00412CE5"/>
    <w:rsid w:val="0041799C"/>
    <w:rsid w:val="00420ED2"/>
    <w:rsid w:val="004279BE"/>
    <w:rsid w:val="0043014D"/>
    <w:rsid w:val="00431438"/>
    <w:rsid w:val="004320B0"/>
    <w:rsid w:val="004327AD"/>
    <w:rsid w:val="004346CE"/>
    <w:rsid w:val="004418E9"/>
    <w:rsid w:val="00452744"/>
    <w:rsid w:val="00453B4A"/>
    <w:rsid w:val="00460A99"/>
    <w:rsid w:val="00462FAD"/>
    <w:rsid w:val="00464F09"/>
    <w:rsid w:val="004668A9"/>
    <w:rsid w:val="004675E3"/>
    <w:rsid w:val="00470A29"/>
    <w:rsid w:val="004710B1"/>
    <w:rsid w:val="00472F5B"/>
    <w:rsid w:val="00475417"/>
    <w:rsid w:val="00476866"/>
    <w:rsid w:val="00481806"/>
    <w:rsid w:val="00483486"/>
    <w:rsid w:val="00484D65"/>
    <w:rsid w:val="00484DB9"/>
    <w:rsid w:val="00484E8A"/>
    <w:rsid w:val="004909CA"/>
    <w:rsid w:val="00491179"/>
    <w:rsid w:val="0049249C"/>
    <w:rsid w:val="00492AAF"/>
    <w:rsid w:val="0049404D"/>
    <w:rsid w:val="0049657B"/>
    <w:rsid w:val="00496E30"/>
    <w:rsid w:val="004A0EE4"/>
    <w:rsid w:val="004A3A28"/>
    <w:rsid w:val="004B092D"/>
    <w:rsid w:val="004B52DA"/>
    <w:rsid w:val="004B7097"/>
    <w:rsid w:val="004B79DA"/>
    <w:rsid w:val="004C2663"/>
    <w:rsid w:val="004C65D0"/>
    <w:rsid w:val="004C6A57"/>
    <w:rsid w:val="004D3861"/>
    <w:rsid w:val="004D395D"/>
    <w:rsid w:val="004D3BC9"/>
    <w:rsid w:val="004D472B"/>
    <w:rsid w:val="004D572D"/>
    <w:rsid w:val="004D575C"/>
    <w:rsid w:val="004D5857"/>
    <w:rsid w:val="004D7701"/>
    <w:rsid w:val="004D7C3D"/>
    <w:rsid w:val="004E2D5D"/>
    <w:rsid w:val="004E67D0"/>
    <w:rsid w:val="004E6CD3"/>
    <w:rsid w:val="004F0E06"/>
    <w:rsid w:val="004F1ABA"/>
    <w:rsid w:val="004F3103"/>
    <w:rsid w:val="004F70F1"/>
    <w:rsid w:val="004F7D96"/>
    <w:rsid w:val="004F7F68"/>
    <w:rsid w:val="0050004B"/>
    <w:rsid w:val="00501BFD"/>
    <w:rsid w:val="00503278"/>
    <w:rsid w:val="005032F5"/>
    <w:rsid w:val="0050469C"/>
    <w:rsid w:val="005061C4"/>
    <w:rsid w:val="0051288F"/>
    <w:rsid w:val="005136D8"/>
    <w:rsid w:val="00516EFD"/>
    <w:rsid w:val="00517EE1"/>
    <w:rsid w:val="0052531C"/>
    <w:rsid w:val="00526B2A"/>
    <w:rsid w:val="00527FD2"/>
    <w:rsid w:val="0053024F"/>
    <w:rsid w:val="00530DDA"/>
    <w:rsid w:val="00532136"/>
    <w:rsid w:val="0053285E"/>
    <w:rsid w:val="00532A96"/>
    <w:rsid w:val="00534946"/>
    <w:rsid w:val="00535C8F"/>
    <w:rsid w:val="00537D01"/>
    <w:rsid w:val="0054060E"/>
    <w:rsid w:val="005422B9"/>
    <w:rsid w:val="00542835"/>
    <w:rsid w:val="005438D5"/>
    <w:rsid w:val="00543B86"/>
    <w:rsid w:val="00543FAA"/>
    <w:rsid w:val="00546B36"/>
    <w:rsid w:val="00550504"/>
    <w:rsid w:val="00552B62"/>
    <w:rsid w:val="0055432D"/>
    <w:rsid w:val="00560992"/>
    <w:rsid w:val="00562A8F"/>
    <w:rsid w:val="005630A8"/>
    <w:rsid w:val="00563D15"/>
    <w:rsid w:val="005650D7"/>
    <w:rsid w:val="00567079"/>
    <w:rsid w:val="00567491"/>
    <w:rsid w:val="00567E2E"/>
    <w:rsid w:val="00570958"/>
    <w:rsid w:val="00570C13"/>
    <w:rsid w:val="005732B8"/>
    <w:rsid w:val="00574BEC"/>
    <w:rsid w:val="0057540E"/>
    <w:rsid w:val="00575573"/>
    <w:rsid w:val="005765A1"/>
    <w:rsid w:val="00577B3A"/>
    <w:rsid w:val="005811AC"/>
    <w:rsid w:val="0058158B"/>
    <w:rsid w:val="00582E54"/>
    <w:rsid w:val="005835B7"/>
    <w:rsid w:val="005875E1"/>
    <w:rsid w:val="00587C34"/>
    <w:rsid w:val="005904F3"/>
    <w:rsid w:val="005913CD"/>
    <w:rsid w:val="00592EF9"/>
    <w:rsid w:val="005937BA"/>
    <w:rsid w:val="00593BEF"/>
    <w:rsid w:val="005948AE"/>
    <w:rsid w:val="00594C93"/>
    <w:rsid w:val="0059519F"/>
    <w:rsid w:val="00597D20"/>
    <w:rsid w:val="00597EE0"/>
    <w:rsid w:val="005A06ED"/>
    <w:rsid w:val="005A076A"/>
    <w:rsid w:val="005A0A67"/>
    <w:rsid w:val="005A0DC7"/>
    <w:rsid w:val="005A210E"/>
    <w:rsid w:val="005A5CAB"/>
    <w:rsid w:val="005B112D"/>
    <w:rsid w:val="005B24AA"/>
    <w:rsid w:val="005B272F"/>
    <w:rsid w:val="005B5D8F"/>
    <w:rsid w:val="005B5FDB"/>
    <w:rsid w:val="005B69BE"/>
    <w:rsid w:val="005B6A94"/>
    <w:rsid w:val="005B6FAC"/>
    <w:rsid w:val="005B7B7B"/>
    <w:rsid w:val="005C07F4"/>
    <w:rsid w:val="005C177D"/>
    <w:rsid w:val="005C5815"/>
    <w:rsid w:val="005C7618"/>
    <w:rsid w:val="005D0B5C"/>
    <w:rsid w:val="005D2381"/>
    <w:rsid w:val="005D3AC3"/>
    <w:rsid w:val="005D3F13"/>
    <w:rsid w:val="005D466E"/>
    <w:rsid w:val="005D5242"/>
    <w:rsid w:val="005D58A9"/>
    <w:rsid w:val="005D5C1A"/>
    <w:rsid w:val="005E15EB"/>
    <w:rsid w:val="005E34AA"/>
    <w:rsid w:val="005E4249"/>
    <w:rsid w:val="005E59F6"/>
    <w:rsid w:val="005E6670"/>
    <w:rsid w:val="005F0ACD"/>
    <w:rsid w:val="005F29BF"/>
    <w:rsid w:val="005F547D"/>
    <w:rsid w:val="005F7296"/>
    <w:rsid w:val="005F79FF"/>
    <w:rsid w:val="0060357E"/>
    <w:rsid w:val="00604BB8"/>
    <w:rsid w:val="00604C88"/>
    <w:rsid w:val="00604CB2"/>
    <w:rsid w:val="00604F67"/>
    <w:rsid w:val="00606EB4"/>
    <w:rsid w:val="006113C7"/>
    <w:rsid w:val="00611DFC"/>
    <w:rsid w:val="00612D35"/>
    <w:rsid w:val="006131DE"/>
    <w:rsid w:val="00613A3F"/>
    <w:rsid w:val="00613CD2"/>
    <w:rsid w:val="00614450"/>
    <w:rsid w:val="00620729"/>
    <w:rsid w:val="00621B99"/>
    <w:rsid w:val="00621F6D"/>
    <w:rsid w:val="006237AD"/>
    <w:rsid w:val="00624FB5"/>
    <w:rsid w:val="006253DE"/>
    <w:rsid w:val="006318E4"/>
    <w:rsid w:val="0063228B"/>
    <w:rsid w:val="006331CD"/>
    <w:rsid w:val="00634355"/>
    <w:rsid w:val="006343A9"/>
    <w:rsid w:val="0063480B"/>
    <w:rsid w:val="0063618C"/>
    <w:rsid w:val="00636B4D"/>
    <w:rsid w:val="00637584"/>
    <w:rsid w:val="00641A9D"/>
    <w:rsid w:val="00641D5B"/>
    <w:rsid w:val="00644156"/>
    <w:rsid w:val="0064445D"/>
    <w:rsid w:val="00644D76"/>
    <w:rsid w:val="00645A44"/>
    <w:rsid w:val="00646678"/>
    <w:rsid w:val="00646EEA"/>
    <w:rsid w:val="006501F1"/>
    <w:rsid w:val="00655081"/>
    <w:rsid w:val="0066091F"/>
    <w:rsid w:val="0066456E"/>
    <w:rsid w:val="006646D6"/>
    <w:rsid w:val="00665635"/>
    <w:rsid w:val="00665794"/>
    <w:rsid w:val="0066763B"/>
    <w:rsid w:val="00667733"/>
    <w:rsid w:val="0066782B"/>
    <w:rsid w:val="00667975"/>
    <w:rsid w:val="00670618"/>
    <w:rsid w:val="00670C80"/>
    <w:rsid w:val="006725EC"/>
    <w:rsid w:val="00673A8A"/>
    <w:rsid w:val="006741E8"/>
    <w:rsid w:val="0067632B"/>
    <w:rsid w:val="00676956"/>
    <w:rsid w:val="00680302"/>
    <w:rsid w:val="0068372C"/>
    <w:rsid w:val="00683F97"/>
    <w:rsid w:val="006860CE"/>
    <w:rsid w:val="0068756F"/>
    <w:rsid w:val="00687E2A"/>
    <w:rsid w:val="00692579"/>
    <w:rsid w:val="00693284"/>
    <w:rsid w:val="00693870"/>
    <w:rsid w:val="00693BA1"/>
    <w:rsid w:val="006A6403"/>
    <w:rsid w:val="006B0920"/>
    <w:rsid w:val="006B0CD8"/>
    <w:rsid w:val="006B0F46"/>
    <w:rsid w:val="006B36D5"/>
    <w:rsid w:val="006B6B1E"/>
    <w:rsid w:val="006C0451"/>
    <w:rsid w:val="006C1C21"/>
    <w:rsid w:val="006C2A84"/>
    <w:rsid w:val="006C3642"/>
    <w:rsid w:val="006C409E"/>
    <w:rsid w:val="006C44D8"/>
    <w:rsid w:val="006C6226"/>
    <w:rsid w:val="006D46D2"/>
    <w:rsid w:val="006D4A9B"/>
    <w:rsid w:val="006E068F"/>
    <w:rsid w:val="006E43A4"/>
    <w:rsid w:val="006E717F"/>
    <w:rsid w:val="006E75E9"/>
    <w:rsid w:val="006F0889"/>
    <w:rsid w:val="006F133B"/>
    <w:rsid w:val="006F1A77"/>
    <w:rsid w:val="006F3EB6"/>
    <w:rsid w:val="006F48C0"/>
    <w:rsid w:val="006F5667"/>
    <w:rsid w:val="006F5CCD"/>
    <w:rsid w:val="00701040"/>
    <w:rsid w:val="007012DD"/>
    <w:rsid w:val="00702221"/>
    <w:rsid w:val="00702799"/>
    <w:rsid w:val="007028CD"/>
    <w:rsid w:val="00702AD7"/>
    <w:rsid w:val="00704373"/>
    <w:rsid w:val="0070536C"/>
    <w:rsid w:val="00705C5E"/>
    <w:rsid w:val="00706F9A"/>
    <w:rsid w:val="0070745B"/>
    <w:rsid w:val="00707725"/>
    <w:rsid w:val="00710D30"/>
    <w:rsid w:val="00711F22"/>
    <w:rsid w:val="007145ED"/>
    <w:rsid w:val="0071476F"/>
    <w:rsid w:val="007158C3"/>
    <w:rsid w:val="00715C39"/>
    <w:rsid w:val="00715CD6"/>
    <w:rsid w:val="007178E1"/>
    <w:rsid w:val="0072109F"/>
    <w:rsid w:val="0072187A"/>
    <w:rsid w:val="00722EF2"/>
    <w:rsid w:val="00723A47"/>
    <w:rsid w:val="00725B77"/>
    <w:rsid w:val="00733D05"/>
    <w:rsid w:val="007376EF"/>
    <w:rsid w:val="00740A6A"/>
    <w:rsid w:val="007410A6"/>
    <w:rsid w:val="00742422"/>
    <w:rsid w:val="00742B00"/>
    <w:rsid w:val="00742C3B"/>
    <w:rsid w:val="00743F7E"/>
    <w:rsid w:val="00747550"/>
    <w:rsid w:val="00747A20"/>
    <w:rsid w:val="0075290B"/>
    <w:rsid w:val="00753DF6"/>
    <w:rsid w:val="007542A7"/>
    <w:rsid w:val="00754C5C"/>
    <w:rsid w:val="007570CC"/>
    <w:rsid w:val="007609B9"/>
    <w:rsid w:val="00763CB3"/>
    <w:rsid w:val="00764881"/>
    <w:rsid w:val="007704B4"/>
    <w:rsid w:val="0077159B"/>
    <w:rsid w:val="00774258"/>
    <w:rsid w:val="00780951"/>
    <w:rsid w:val="00783972"/>
    <w:rsid w:val="00790EC6"/>
    <w:rsid w:val="00792344"/>
    <w:rsid w:val="00793A0B"/>
    <w:rsid w:val="00793AC4"/>
    <w:rsid w:val="007946B4"/>
    <w:rsid w:val="00795EB2"/>
    <w:rsid w:val="00796BD6"/>
    <w:rsid w:val="00797CBC"/>
    <w:rsid w:val="007A1751"/>
    <w:rsid w:val="007A39FA"/>
    <w:rsid w:val="007A4DF2"/>
    <w:rsid w:val="007A7251"/>
    <w:rsid w:val="007A7E9A"/>
    <w:rsid w:val="007B0784"/>
    <w:rsid w:val="007B3303"/>
    <w:rsid w:val="007B3DF8"/>
    <w:rsid w:val="007B6C42"/>
    <w:rsid w:val="007B762D"/>
    <w:rsid w:val="007C1BED"/>
    <w:rsid w:val="007C1E9E"/>
    <w:rsid w:val="007C1EA3"/>
    <w:rsid w:val="007C7E53"/>
    <w:rsid w:val="007D15AB"/>
    <w:rsid w:val="007D2ADB"/>
    <w:rsid w:val="007D2D6B"/>
    <w:rsid w:val="007D2EAC"/>
    <w:rsid w:val="007D32C5"/>
    <w:rsid w:val="007D386E"/>
    <w:rsid w:val="007D58C4"/>
    <w:rsid w:val="007D5CF0"/>
    <w:rsid w:val="007E0C3E"/>
    <w:rsid w:val="007E0CB8"/>
    <w:rsid w:val="007E109E"/>
    <w:rsid w:val="007E1A41"/>
    <w:rsid w:val="007E1B10"/>
    <w:rsid w:val="007E351A"/>
    <w:rsid w:val="007F0202"/>
    <w:rsid w:val="007F2286"/>
    <w:rsid w:val="007F61F6"/>
    <w:rsid w:val="008011F1"/>
    <w:rsid w:val="00801526"/>
    <w:rsid w:val="00802690"/>
    <w:rsid w:val="00803365"/>
    <w:rsid w:val="00803846"/>
    <w:rsid w:val="0080586E"/>
    <w:rsid w:val="00807998"/>
    <w:rsid w:val="0081089E"/>
    <w:rsid w:val="00810C0C"/>
    <w:rsid w:val="00811182"/>
    <w:rsid w:val="0081183D"/>
    <w:rsid w:val="008127CA"/>
    <w:rsid w:val="0081289C"/>
    <w:rsid w:val="00812F8D"/>
    <w:rsid w:val="00814108"/>
    <w:rsid w:val="008170D7"/>
    <w:rsid w:val="008178B0"/>
    <w:rsid w:val="0082131A"/>
    <w:rsid w:val="00821963"/>
    <w:rsid w:val="008224FD"/>
    <w:rsid w:val="00822F6E"/>
    <w:rsid w:val="00823869"/>
    <w:rsid w:val="00826BA8"/>
    <w:rsid w:val="008270A3"/>
    <w:rsid w:val="00830358"/>
    <w:rsid w:val="00830AA0"/>
    <w:rsid w:val="008315B7"/>
    <w:rsid w:val="00832200"/>
    <w:rsid w:val="0083507C"/>
    <w:rsid w:val="008400E8"/>
    <w:rsid w:val="0084031B"/>
    <w:rsid w:val="00840C13"/>
    <w:rsid w:val="008430FB"/>
    <w:rsid w:val="00843199"/>
    <w:rsid w:val="008439F5"/>
    <w:rsid w:val="008443F8"/>
    <w:rsid w:val="008513B3"/>
    <w:rsid w:val="00855B35"/>
    <w:rsid w:val="00855E57"/>
    <w:rsid w:val="00860359"/>
    <w:rsid w:val="00863979"/>
    <w:rsid w:val="008644E9"/>
    <w:rsid w:val="008646E7"/>
    <w:rsid w:val="008660AB"/>
    <w:rsid w:val="008661EE"/>
    <w:rsid w:val="00866D78"/>
    <w:rsid w:val="00867021"/>
    <w:rsid w:val="008675E1"/>
    <w:rsid w:val="00870898"/>
    <w:rsid w:val="00870BCC"/>
    <w:rsid w:val="00870CBE"/>
    <w:rsid w:val="008729C8"/>
    <w:rsid w:val="00874179"/>
    <w:rsid w:val="00874382"/>
    <w:rsid w:val="00874394"/>
    <w:rsid w:val="00874BED"/>
    <w:rsid w:val="00875CD0"/>
    <w:rsid w:val="00876965"/>
    <w:rsid w:val="008800C0"/>
    <w:rsid w:val="0088086E"/>
    <w:rsid w:val="008811E0"/>
    <w:rsid w:val="008816A0"/>
    <w:rsid w:val="0088495D"/>
    <w:rsid w:val="00887DE1"/>
    <w:rsid w:val="00892B50"/>
    <w:rsid w:val="00897171"/>
    <w:rsid w:val="00897FA9"/>
    <w:rsid w:val="008A259D"/>
    <w:rsid w:val="008A323D"/>
    <w:rsid w:val="008A3AC6"/>
    <w:rsid w:val="008A48DC"/>
    <w:rsid w:val="008A493C"/>
    <w:rsid w:val="008A4B04"/>
    <w:rsid w:val="008A5622"/>
    <w:rsid w:val="008A5861"/>
    <w:rsid w:val="008B1031"/>
    <w:rsid w:val="008B28FC"/>
    <w:rsid w:val="008B2A8E"/>
    <w:rsid w:val="008B2E9C"/>
    <w:rsid w:val="008B487D"/>
    <w:rsid w:val="008B4F13"/>
    <w:rsid w:val="008B5859"/>
    <w:rsid w:val="008B6E07"/>
    <w:rsid w:val="008B6FB9"/>
    <w:rsid w:val="008C1722"/>
    <w:rsid w:val="008C1AA8"/>
    <w:rsid w:val="008C2849"/>
    <w:rsid w:val="008C2A92"/>
    <w:rsid w:val="008C34CE"/>
    <w:rsid w:val="008D0483"/>
    <w:rsid w:val="008D0974"/>
    <w:rsid w:val="008D175D"/>
    <w:rsid w:val="008D2B02"/>
    <w:rsid w:val="008D3AC0"/>
    <w:rsid w:val="008D53EA"/>
    <w:rsid w:val="008D5AAF"/>
    <w:rsid w:val="008E36D0"/>
    <w:rsid w:val="008E44BD"/>
    <w:rsid w:val="008E6D95"/>
    <w:rsid w:val="008F1921"/>
    <w:rsid w:val="008F2A3B"/>
    <w:rsid w:val="008F78F0"/>
    <w:rsid w:val="008F7DD6"/>
    <w:rsid w:val="00904F6E"/>
    <w:rsid w:val="0090521B"/>
    <w:rsid w:val="00911216"/>
    <w:rsid w:val="00911A57"/>
    <w:rsid w:val="00911B4C"/>
    <w:rsid w:val="00911BE0"/>
    <w:rsid w:val="0091238D"/>
    <w:rsid w:val="00913FC3"/>
    <w:rsid w:val="009146A8"/>
    <w:rsid w:val="00914985"/>
    <w:rsid w:val="0091531E"/>
    <w:rsid w:val="00915623"/>
    <w:rsid w:val="0092009B"/>
    <w:rsid w:val="00920F47"/>
    <w:rsid w:val="0092537F"/>
    <w:rsid w:val="009253D8"/>
    <w:rsid w:val="00925CF7"/>
    <w:rsid w:val="00925E50"/>
    <w:rsid w:val="0092707A"/>
    <w:rsid w:val="00930C41"/>
    <w:rsid w:val="009324F8"/>
    <w:rsid w:val="00932A3B"/>
    <w:rsid w:val="00932A63"/>
    <w:rsid w:val="00935F0E"/>
    <w:rsid w:val="009361D6"/>
    <w:rsid w:val="009363D8"/>
    <w:rsid w:val="0093650B"/>
    <w:rsid w:val="00936FB3"/>
    <w:rsid w:val="009406DC"/>
    <w:rsid w:val="0094070D"/>
    <w:rsid w:val="009418CB"/>
    <w:rsid w:val="00950CC7"/>
    <w:rsid w:val="00950E38"/>
    <w:rsid w:val="00952A1B"/>
    <w:rsid w:val="00952ADB"/>
    <w:rsid w:val="00952E6D"/>
    <w:rsid w:val="0095400C"/>
    <w:rsid w:val="00955796"/>
    <w:rsid w:val="00960865"/>
    <w:rsid w:val="009629CD"/>
    <w:rsid w:val="00965A07"/>
    <w:rsid w:val="00965C0F"/>
    <w:rsid w:val="00970255"/>
    <w:rsid w:val="009713C8"/>
    <w:rsid w:val="00972433"/>
    <w:rsid w:val="00974E61"/>
    <w:rsid w:val="00982329"/>
    <w:rsid w:val="00984C79"/>
    <w:rsid w:val="0098545F"/>
    <w:rsid w:val="00987074"/>
    <w:rsid w:val="009879D9"/>
    <w:rsid w:val="0099003B"/>
    <w:rsid w:val="009921AD"/>
    <w:rsid w:val="00994B73"/>
    <w:rsid w:val="00995214"/>
    <w:rsid w:val="009A1769"/>
    <w:rsid w:val="009A3B7F"/>
    <w:rsid w:val="009A5FD3"/>
    <w:rsid w:val="009B19ED"/>
    <w:rsid w:val="009B3ACC"/>
    <w:rsid w:val="009B5DB2"/>
    <w:rsid w:val="009B5ED6"/>
    <w:rsid w:val="009B7360"/>
    <w:rsid w:val="009C05FA"/>
    <w:rsid w:val="009C311E"/>
    <w:rsid w:val="009C3953"/>
    <w:rsid w:val="009C3B14"/>
    <w:rsid w:val="009C466C"/>
    <w:rsid w:val="009C71E6"/>
    <w:rsid w:val="009D04E1"/>
    <w:rsid w:val="009D086A"/>
    <w:rsid w:val="009D0F98"/>
    <w:rsid w:val="009D1541"/>
    <w:rsid w:val="009D2B61"/>
    <w:rsid w:val="009D4493"/>
    <w:rsid w:val="009D4D9E"/>
    <w:rsid w:val="009D58D2"/>
    <w:rsid w:val="009D5F45"/>
    <w:rsid w:val="009E124F"/>
    <w:rsid w:val="009E59A3"/>
    <w:rsid w:val="009E61CE"/>
    <w:rsid w:val="009E6CA8"/>
    <w:rsid w:val="009F28A4"/>
    <w:rsid w:val="009F4765"/>
    <w:rsid w:val="009F4D1E"/>
    <w:rsid w:val="009F4EC6"/>
    <w:rsid w:val="009F4F21"/>
    <w:rsid w:val="009F53C1"/>
    <w:rsid w:val="009F568A"/>
    <w:rsid w:val="009F7198"/>
    <w:rsid w:val="00A0059E"/>
    <w:rsid w:val="00A00C46"/>
    <w:rsid w:val="00A01898"/>
    <w:rsid w:val="00A02F40"/>
    <w:rsid w:val="00A02FD6"/>
    <w:rsid w:val="00A051E2"/>
    <w:rsid w:val="00A05502"/>
    <w:rsid w:val="00A060D2"/>
    <w:rsid w:val="00A10182"/>
    <w:rsid w:val="00A10BA7"/>
    <w:rsid w:val="00A1174D"/>
    <w:rsid w:val="00A1303D"/>
    <w:rsid w:val="00A135CF"/>
    <w:rsid w:val="00A1390B"/>
    <w:rsid w:val="00A14888"/>
    <w:rsid w:val="00A1671A"/>
    <w:rsid w:val="00A2002A"/>
    <w:rsid w:val="00A2182D"/>
    <w:rsid w:val="00A22A1C"/>
    <w:rsid w:val="00A23C5D"/>
    <w:rsid w:val="00A25E0D"/>
    <w:rsid w:val="00A26AEE"/>
    <w:rsid w:val="00A2703D"/>
    <w:rsid w:val="00A27047"/>
    <w:rsid w:val="00A27802"/>
    <w:rsid w:val="00A31EA3"/>
    <w:rsid w:val="00A333CA"/>
    <w:rsid w:val="00A33A6B"/>
    <w:rsid w:val="00A35FF4"/>
    <w:rsid w:val="00A3634F"/>
    <w:rsid w:val="00A36A63"/>
    <w:rsid w:val="00A36B75"/>
    <w:rsid w:val="00A372F5"/>
    <w:rsid w:val="00A40BAA"/>
    <w:rsid w:val="00A41502"/>
    <w:rsid w:val="00A42257"/>
    <w:rsid w:val="00A4365C"/>
    <w:rsid w:val="00A439B5"/>
    <w:rsid w:val="00A43FDF"/>
    <w:rsid w:val="00A44363"/>
    <w:rsid w:val="00A44891"/>
    <w:rsid w:val="00A455A3"/>
    <w:rsid w:val="00A4753E"/>
    <w:rsid w:val="00A54A06"/>
    <w:rsid w:val="00A55238"/>
    <w:rsid w:val="00A55D1E"/>
    <w:rsid w:val="00A61781"/>
    <w:rsid w:val="00A653A3"/>
    <w:rsid w:val="00A6686F"/>
    <w:rsid w:val="00A668D9"/>
    <w:rsid w:val="00A7017F"/>
    <w:rsid w:val="00A714CD"/>
    <w:rsid w:val="00A743A6"/>
    <w:rsid w:val="00A75C2D"/>
    <w:rsid w:val="00A7774E"/>
    <w:rsid w:val="00A801F6"/>
    <w:rsid w:val="00A824F9"/>
    <w:rsid w:val="00A82C4B"/>
    <w:rsid w:val="00A83782"/>
    <w:rsid w:val="00A84CCB"/>
    <w:rsid w:val="00A85314"/>
    <w:rsid w:val="00A85A6D"/>
    <w:rsid w:val="00A86CED"/>
    <w:rsid w:val="00A86F2C"/>
    <w:rsid w:val="00A86FE0"/>
    <w:rsid w:val="00A87022"/>
    <w:rsid w:val="00A873AD"/>
    <w:rsid w:val="00A87901"/>
    <w:rsid w:val="00A94FC3"/>
    <w:rsid w:val="00A96058"/>
    <w:rsid w:val="00A9799C"/>
    <w:rsid w:val="00AA0724"/>
    <w:rsid w:val="00AA09AC"/>
    <w:rsid w:val="00AA0A5A"/>
    <w:rsid w:val="00AA10D0"/>
    <w:rsid w:val="00AA2204"/>
    <w:rsid w:val="00AA26A0"/>
    <w:rsid w:val="00AA4675"/>
    <w:rsid w:val="00AA4DC9"/>
    <w:rsid w:val="00AA5982"/>
    <w:rsid w:val="00AA72C9"/>
    <w:rsid w:val="00AA76EF"/>
    <w:rsid w:val="00AB3653"/>
    <w:rsid w:val="00AB3978"/>
    <w:rsid w:val="00AB4379"/>
    <w:rsid w:val="00AB50C9"/>
    <w:rsid w:val="00AC0431"/>
    <w:rsid w:val="00AC09E6"/>
    <w:rsid w:val="00AC552D"/>
    <w:rsid w:val="00AC705B"/>
    <w:rsid w:val="00AD172A"/>
    <w:rsid w:val="00AD1C4A"/>
    <w:rsid w:val="00AD240A"/>
    <w:rsid w:val="00AD46DA"/>
    <w:rsid w:val="00AD50BF"/>
    <w:rsid w:val="00AD68E8"/>
    <w:rsid w:val="00AD7499"/>
    <w:rsid w:val="00AD7D65"/>
    <w:rsid w:val="00AD7DDF"/>
    <w:rsid w:val="00AE0F19"/>
    <w:rsid w:val="00AE2F7F"/>
    <w:rsid w:val="00AE33C2"/>
    <w:rsid w:val="00AE3903"/>
    <w:rsid w:val="00AE3C6D"/>
    <w:rsid w:val="00AE41BB"/>
    <w:rsid w:val="00AE4D99"/>
    <w:rsid w:val="00AE52AB"/>
    <w:rsid w:val="00AE66BD"/>
    <w:rsid w:val="00AF0AD9"/>
    <w:rsid w:val="00AF68F3"/>
    <w:rsid w:val="00AF6AB4"/>
    <w:rsid w:val="00B01005"/>
    <w:rsid w:val="00B01248"/>
    <w:rsid w:val="00B01A9B"/>
    <w:rsid w:val="00B0255D"/>
    <w:rsid w:val="00B0470F"/>
    <w:rsid w:val="00B0692E"/>
    <w:rsid w:val="00B0703E"/>
    <w:rsid w:val="00B0719C"/>
    <w:rsid w:val="00B078CC"/>
    <w:rsid w:val="00B07C04"/>
    <w:rsid w:val="00B107B8"/>
    <w:rsid w:val="00B11B53"/>
    <w:rsid w:val="00B13F30"/>
    <w:rsid w:val="00B14FF0"/>
    <w:rsid w:val="00B1535C"/>
    <w:rsid w:val="00B16288"/>
    <w:rsid w:val="00B164A7"/>
    <w:rsid w:val="00B203EC"/>
    <w:rsid w:val="00B20B22"/>
    <w:rsid w:val="00B25129"/>
    <w:rsid w:val="00B27C85"/>
    <w:rsid w:val="00B307DC"/>
    <w:rsid w:val="00B33872"/>
    <w:rsid w:val="00B34E54"/>
    <w:rsid w:val="00B361EC"/>
    <w:rsid w:val="00B36B53"/>
    <w:rsid w:val="00B416EB"/>
    <w:rsid w:val="00B43DBF"/>
    <w:rsid w:val="00B43DC3"/>
    <w:rsid w:val="00B452F8"/>
    <w:rsid w:val="00B4552A"/>
    <w:rsid w:val="00B45C5F"/>
    <w:rsid w:val="00B476A5"/>
    <w:rsid w:val="00B47947"/>
    <w:rsid w:val="00B510B1"/>
    <w:rsid w:val="00B5154E"/>
    <w:rsid w:val="00B52A52"/>
    <w:rsid w:val="00B542D9"/>
    <w:rsid w:val="00B5566C"/>
    <w:rsid w:val="00B57C78"/>
    <w:rsid w:val="00B60220"/>
    <w:rsid w:val="00B621D3"/>
    <w:rsid w:val="00B63EF3"/>
    <w:rsid w:val="00B65F93"/>
    <w:rsid w:val="00B6652A"/>
    <w:rsid w:val="00B7007A"/>
    <w:rsid w:val="00B7116E"/>
    <w:rsid w:val="00B72678"/>
    <w:rsid w:val="00B73AF7"/>
    <w:rsid w:val="00B760DC"/>
    <w:rsid w:val="00B7641E"/>
    <w:rsid w:val="00B766D5"/>
    <w:rsid w:val="00B77947"/>
    <w:rsid w:val="00B8069E"/>
    <w:rsid w:val="00B812B2"/>
    <w:rsid w:val="00B818A8"/>
    <w:rsid w:val="00B82375"/>
    <w:rsid w:val="00B8349F"/>
    <w:rsid w:val="00B83FA7"/>
    <w:rsid w:val="00B8577E"/>
    <w:rsid w:val="00B869E9"/>
    <w:rsid w:val="00B87974"/>
    <w:rsid w:val="00B87FE2"/>
    <w:rsid w:val="00B901F4"/>
    <w:rsid w:val="00B90977"/>
    <w:rsid w:val="00B90CBD"/>
    <w:rsid w:val="00B914FA"/>
    <w:rsid w:val="00B935FD"/>
    <w:rsid w:val="00B966BD"/>
    <w:rsid w:val="00B96710"/>
    <w:rsid w:val="00B974FA"/>
    <w:rsid w:val="00BA0B12"/>
    <w:rsid w:val="00BA2F06"/>
    <w:rsid w:val="00BA37CF"/>
    <w:rsid w:val="00BA3854"/>
    <w:rsid w:val="00BA43F8"/>
    <w:rsid w:val="00BA4537"/>
    <w:rsid w:val="00BA732D"/>
    <w:rsid w:val="00BB08DD"/>
    <w:rsid w:val="00BB1D9F"/>
    <w:rsid w:val="00BB3439"/>
    <w:rsid w:val="00BB4486"/>
    <w:rsid w:val="00BB65E8"/>
    <w:rsid w:val="00BB7C97"/>
    <w:rsid w:val="00BB7D57"/>
    <w:rsid w:val="00BC0C96"/>
    <w:rsid w:val="00BC0FE0"/>
    <w:rsid w:val="00BC19C8"/>
    <w:rsid w:val="00BC2AC1"/>
    <w:rsid w:val="00BC3C53"/>
    <w:rsid w:val="00BC53D1"/>
    <w:rsid w:val="00BD0250"/>
    <w:rsid w:val="00BD1165"/>
    <w:rsid w:val="00BD17DA"/>
    <w:rsid w:val="00BD1E07"/>
    <w:rsid w:val="00BD2408"/>
    <w:rsid w:val="00BD2E7C"/>
    <w:rsid w:val="00BD36BA"/>
    <w:rsid w:val="00BE0191"/>
    <w:rsid w:val="00BE0341"/>
    <w:rsid w:val="00BE0E31"/>
    <w:rsid w:val="00BE147E"/>
    <w:rsid w:val="00BE202C"/>
    <w:rsid w:val="00BE371C"/>
    <w:rsid w:val="00BE44F2"/>
    <w:rsid w:val="00BE5F8E"/>
    <w:rsid w:val="00BF54B3"/>
    <w:rsid w:val="00BF632B"/>
    <w:rsid w:val="00BF6514"/>
    <w:rsid w:val="00C005AC"/>
    <w:rsid w:val="00C00E46"/>
    <w:rsid w:val="00C0247C"/>
    <w:rsid w:val="00C03E86"/>
    <w:rsid w:val="00C06EA6"/>
    <w:rsid w:val="00C109A6"/>
    <w:rsid w:val="00C1219F"/>
    <w:rsid w:val="00C12E2F"/>
    <w:rsid w:val="00C148FD"/>
    <w:rsid w:val="00C209B3"/>
    <w:rsid w:val="00C209E8"/>
    <w:rsid w:val="00C21878"/>
    <w:rsid w:val="00C2295B"/>
    <w:rsid w:val="00C23613"/>
    <w:rsid w:val="00C26124"/>
    <w:rsid w:val="00C2742F"/>
    <w:rsid w:val="00C3168D"/>
    <w:rsid w:val="00C34123"/>
    <w:rsid w:val="00C35CC0"/>
    <w:rsid w:val="00C3656B"/>
    <w:rsid w:val="00C36AC5"/>
    <w:rsid w:val="00C36DB7"/>
    <w:rsid w:val="00C376B0"/>
    <w:rsid w:val="00C40A2C"/>
    <w:rsid w:val="00C42FC9"/>
    <w:rsid w:val="00C44B78"/>
    <w:rsid w:val="00C44C11"/>
    <w:rsid w:val="00C44E3B"/>
    <w:rsid w:val="00C46953"/>
    <w:rsid w:val="00C50AF6"/>
    <w:rsid w:val="00C50B05"/>
    <w:rsid w:val="00C5199E"/>
    <w:rsid w:val="00C54DA4"/>
    <w:rsid w:val="00C55A1C"/>
    <w:rsid w:val="00C56CB1"/>
    <w:rsid w:val="00C60514"/>
    <w:rsid w:val="00C61DCF"/>
    <w:rsid w:val="00C61F13"/>
    <w:rsid w:val="00C62B7E"/>
    <w:rsid w:val="00C6388A"/>
    <w:rsid w:val="00C64649"/>
    <w:rsid w:val="00C6499C"/>
    <w:rsid w:val="00C676FC"/>
    <w:rsid w:val="00C7286F"/>
    <w:rsid w:val="00C73332"/>
    <w:rsid w:val="00C7472E"/>
    <w:rsid w:val="00C74C70"/>
    <w:rsid w:val="00C820EB"/>
    <w:rsid w:val="00C84961"/>
    <w:rsid w:val="00C855B4"/>
    <w:rsid w:val="00C87447"/>
    <w:rsid w:val="00C9173E"/>
    <w:rsid w:val="00C921F0"/>
    <w:rsid w:val="00C925E7"/>
    <w:rsid w:val="00C94315"/>
    <w:rsid w:val="00C94F16"/>
    <w:rsid w:val="00C959C1"/>
    <w:rsid w:val="00C95DB5"/>
    <w:rsid w:val="00C9708A"/>
    <w:rsid w:val="00C97E6E"/>
    <w:rsid w:val="00CA1AA9"/>
    <w:rsid w:val="00CA3D15"/>
    <w:rsid w:val="00CA5D54"/>
    <w:rsid w:val="00CA645C"/>
    <w:rsid w:val="00CA66B8"/>
    <w:rsid w:val="00CA7846"/>
    <w:rsid w:val="00CB0C1F"/>
    <w:rsid w:val="00CB1DAE"/>
    <w:rsid w:val="00CB4B5F"/>
    <w:rsid w:val="00CC07D1"/>
    <w:rsid w:val="00CC0974"/>
    <w:rsid w:val="00CC133A"/>
    <w:rsid w:val="00CC1D5F"/>
    <w:rsid w:val="00CC290A"/>
    <w:rsid w:val="00CC35F3"/>
    <w:rsid w:val="00CC39C3"/>
    <w:rsid w:val="00CC44F1"/>
    <w:rsid w:val="00CC470B"/>
    <w:rsid w:val="00CC5703"/>
    <w:rsid w:val="00CC59F1"/>
    <w:rsid w:val="00CC65C1"/>
    <w:rsid w:val="00CC6866"/>
    <w:rsid w:val="00CC6B5F"/>
    <w:rsid w:val="00CC6C29"/>
    <w:rsid w:val="00CD3B51"/>
    <w:rsid w:val="00CD4F19"/>
    <w:rsid w:val="00CD7ADF"/>
    <w:rsid w:val="00CE12FF"/>
    <w:rsid w:val="00CE3831"/>
    <w:rsid w:val="00CE798E"/>
    <w:rsid w:val="00CF0828"/>
    <w:rsid w:val="00CF14F4"/>
    <w:rsid w:val="00CF2BFE"/>
    <w:rsid w:val="00CF44E9"/>
    <w:rsid w:val="00CF68BB"/>
    <w:rsid w:val="00D00664"/>
    <w:rsid w:val="00D006EF"/>
    <w:rsid w:val="00D02FAE"/>
    <w:rsid w:val="00D048DF"/>
    <w:rsid w:val="00D04ECA"/>
    <w:rsid w:val="00D04F46"/>
    <w:rsid w:val="00D053D4"/>
    <w:rsid w:val="00D07EE7"/>
    <w:rsid w:val="00D14506"/>
    <w:rsid w:val="00D16E41"/>
    <w:rsid w:val="00D174AC"/>
    <w:rsid w:val="00D17A33"/>
    <w:rsid w:val="00D2270E"/>
    <w:rsid w:val="00D2271C"/>
    <w:rsid w:val="00D22A0C"/>
    <w:rsid w:val="00D22B98"/>
    <w:rsid w:val="00D23E8B"/>
    <w:rsid w:val="00D2696B"/>
    <w:rsid w:val="00D308C3"/>
    <w:rsid w:val="00D352AD"/>
    <w:rsid w:val="00D35D3C"/>
    <w:rsid w:val="00D3722F"/>
    <w:rsid w:val="00D41865"/>
    <w:rsid w:val="00D422D5"/>
    <w:rsid w:val="00D422E4"/>
    <w:rsid w:val="00D45CC4"/>
    <w:rsid w:val="00D46062"/>
    <w:rsid w:val="00D46B31"/>
    <w:rsid w:val="00D46C16"/>
    <w:rsid w:val="00D47A7D"/>
    <w:rsid w:val="00D47F0F"/>
    <w:rsid w:val="00D53755"/>
    <w:rsid w:val="00D5424E"/>
    <w:rsid w:val="00D54D2E"/>
    <w:rsid w:val="00D57030"/>
    <w:rsid w:val="00D61969"/>
    <w:rsid w:val="00D650F6"/>
    <w:rsid w:val="00D667D7"/>
    <w:rsid w:val="00D736EA"/>
    <w:rsid w:val="00D74BBC"/>
    <w:rsid w:val="00D77242"/>
    <w:rsid w:val="00D779D0"/>
    <w:rsid w:val="00D80519"/>
    <w:rsid w:val="00D8070F"/>
    <w:rsid w:val="00D81ED7"/>
    <w:rsid w:val="00D82B7E"/>
    <w:rsid w:val="00D831BA"/>
    <w:rsid w:val="00D83D13"/>
    <w:rsid w:val="00D85385"/>
    <w:rsid w:val="00D85E5B"/>
    <w:rsid w:val="00D863F1"/>
    <w:rsid w:val="00D8644C"/>
    <w:rsid w:val="00D865B4"/>
    <w:rsid w:val="00D90926"/>
    <w:rsid w:val="00D9559C"/>
    <w:rsid w:val="00D970C0"/>
    <w:rsid w:val="00D97453"/>
    <w:rsid w:val="00D9790F"/>
    <w:rsid w:val="00D97A42"/>
    <w:rsid w:val="00DA20D7"/>
    <w:rsid w:val="00DA269C"/>
    <w:rsid w:val="00DA3089"/>
    <w:rsid w:val="00DA35E6"/>
    <w:rsid w:val="00DA47B0"/>
    <w:rsid w:val="00DB1C02"/>
    <w:rsid w:val="00DB2932"/>
    <w:rsid w:val="00DB323A"/>
    <w:rsid w:val="00DB6376"/>
    <w:rsid w:val="00DB7019"/>
    <w:rsid w:val="00DB7576"/>
    <w:rsid w:val="00DC05A1"/>
    <w:rsid w:val="00DC1081"/>
    <w:rsid w:val="00DC2884"/>
    <w:rsid w:val="00DC547C"/>
    <w:rsid w:val="00DC6DE5"/>
    <w:rsid w:val="00DC71EB"/>
    <w:rsid w:val="00DD13AC"/>
    <w:rsid w:val="00DD212B"/>
    <w:rsid w:val="00DD4045"/>
    <w:rsid w:val="00DD48D5"/>
    <w:rsid w:val="00DD5B81"/>
    <w:rsid w:val="00DD62CC"/>
    <w:rsid w:val="00DD6315"/>
    <w:rsid w:val="00DE189B"/>
    <w:rsid w:val="00DE55EC"/>
    <w:rsid w:val="00DE7EED"/>
    <w:rsid w:val="00DF2393"/>
    <w:rsid w:val="00DF3563"/>
    <w:rsid w:val="00DF3580"/>
    <w:rsid w:val="00DF4EE2"/>
    <w:rsid w:val="00DF53CE"/>
    <w:rsid w:val="00DF65C9"/>
    <w:rsid w:val="00DF7064"/>
    <w:rsid w:val="00E00CB9"/>
    <w:rsid w:val="00E01188"/>
    <w:rsid w:val="00E0482E"/>
    <w:rsid w:val="00E0531C"/>
    <w:rsid w:val="00E05320"/>
    <w:rsid w:val="00E05725"/>
    <w:rsid w:val="00E064BC"/>
    <w:rsid w:val="00E12861"/>
    <w:rsid w:val="00E13A07"/>
    <w:rsid w:val="00E14D26"/>
    <w:rsid w:val="00E153AF"/>
    <w:rsid w:val="00E2031E"/>
    <w:rsid w:val="00E203D7"/>
    <w:rsid w:val="00E2273E"/>
    <w:rsid w:val="00E2392E"/>
    <w:rsid w:val="00E24A9A"/>
    <w:rsid w:val="00E26C97"/>
    <w:rsid w:val="00E31CFF"/>
    <w:rsid w:val="00E34A86"/>
    <w:rsid w:val="00E36ADB"/>
    <w:rsid w:val="00E4096B"/>
    <w:rsid w:val="00E41A7A"/>
    <w:rsid w:val="00E42815"/>
    <w:rsid w:val="00E4307E"/>
    <w:rsid w:val="00E437C0"/>
    <w:rsid w:val="00E43D36"/>
    <w:rsid w:val="00E4618F"/>
    <w:rsid w:val="00E52049"/>
    <w:rsid w:val="00E52D89"/>
    <w:rsid w:val="00E53BF8"/>
    <w:rsid w:val="00E53ED5"/>
    <w:rsid w:val="00E55B1A"/>
    <w:rsid w:val="00E61273"/>
    <w:rsid w:val="00E638B4"/>
    <w:rsid w:val="00E65535"/>
    <w:rsid w:val="00E66FAD"/>
    <w:rsid w:val="00E709FF"/>
    <w:rsid w:val="00E712EF"/>
    <w:rsid w:val="00E71A72"/>
    <w:rsid w:val="00E71A79"/>
    <w:rsid w:val="00E71FFA"/>
    <w:rsid w:val="00E721E5"/>
    <w:rsid w:val="00E7386F"/>
    <w:rsid w:val="00E82B20"/>
    <w:rsid w:val="00E82DF5"/>
    <w:rsid w:val="00E8347C"/>
    <w:rsid w:val="00E8393F"/>
    <w:rsid w:val="00E83A02"/>
    <w:rsid w:val="00E84058"/>
    <w:rsid w:val="00E84218"/>
    <w:rsid w:val="00E85E76"/>
    <w:rsid w:val="00E87F3E"/>
    <w:rsid w:val="00E92F86"/>
    <w:rsid w:val="00E939EF"/>
    <w:rsid w:val="00E93B8C"/>
    <w:rsid w:val="00E951A8"/>
    <w:rsid w:val="00E95C1A"/>
    <w:rsid w:val="00E9775B"/>
    <w:rsid w:val="00EA0169"/>
    <w:rsid w:val="00EA0A27"/>
    <w:rsid w:val="00EA0D19"/>
    <w:rsid w:val="00EA682E"/>
    <w:rsid w:val="00EA6D69"/>
    <w:rsid w:val="00EB015A"/>
    <w:rsid w:val="00EB0D2D"/>
    <w:rsid w:val="00EB1459"/>
    <w:rsid w:val="00EB1C01"/>
    <w:rsid w:val="00EB2606"/>
    <w:rsid w:val="00EB40D9"/>
    <w:rsid w:val="00EB536D"/>
    <w:rsid w:val="00EC0285"/>
    <w:rsid w:val="00EC1FB4"/>
    <w:rsid w:val="00EC408F"/>
    <w:rsid w:val="00EC5BE7"/>
    <w:rsid w:val="00EC76D0"/>
    <w:rsid w:val="00EC7D43"/>
    <w:rsid w:val="00ED0C0D"/>
    <w:rsid w:val="00ED18DE"/>
    <w:rsid w:val="00ED408F"/>
    <w:rsid w:val="00ED41F3"/>
    <w:rsid w:val="00ED42EB"/>
    <w:rsid w:val="00ED491C"/>
    <w:rsid w:val="00ED67C5"/>
    <w:rsid w:val="00ED6D05"/>
    <w:rsid w:val="00ED7A7E"/>
    <w:rsid w:val="00EE0949"/>
    <w:rsid w:val="00EE4EF0"/>
    <w:rsid w:val="00EE6DAB"/>
    <w:rsid w:val="00EE77EB"/>
    <w:rsid w:val="00EE79D3"/>
    <w:rsid w:val="00EF2976"/>
    <w:rsid w:val="00EF2FE2"/>
    <w:rsid w:val="00EF368C"/>
    <w:rsid w:val="00EF3CBA"/>
    <w:rsid w:val="00EF4E74"/>
    <w:rsid w:val="00EF5776"/>
    <w:rsid w:val="00EF7885"/>
    <w:rsid w:val="00F00EAB"/>
    <w:rsid w:val="00F014E0"/>
    <w:rsid w:val="00F025A9"/>
    <w:rsid w:val="00F026D4"/>
    <w:rsid w:val="00F02EF6"/>
    <w:rsid w:val="00F10174"/>
    <w:rsid w:val="00F1031F"/>
    <w:rsid w:val="00F1381A"/>
    <w:rsid w:val="00F14A93"/>
    <w:rsid w:val="00F156D6"/>
    <w:rsid w:val="00F2494E"/>
    <w:rsid w:val="00F26599"/>
    <w:rsid w:val="00F303D2"/>
    <w:rsid w:val="00F31946"/>
    <w:rsid w:val="00F368C6"/>
    <w:rsid w:val="00F36EE0"/>
    <w:rsid w:val="00F444A6"/>
    <w:rsid w:val="00F45E1B"/>
    <w:rsid w:val="00F47244"/>
    <w:rsid w:val="00F47782"/>
    <w:rsid w:val="00F503C2"/>
    <w:rsid w:val="00F50E54"/>
    <w:rsid w:val="00F5224D"/>
    <w:rsid w:val="00F56439"/>
    <w:rsid w:val="00F56B9F"/>
    <w:rsid w:val="00F600E0"/>
    <w:rsid w:val="00F601BE"/>
    <w:rsid w:val="00F612D9"/>
    <w:rsid w:val="00F628AF"/>
    <w:rsid w:val="00F63FC9"/>
    <w:rsid w:val="00F64825"/>
    <w:rsid w:val="00F651F0"/>
    <w:rsid w:val="00F65422"/>
    <w:rsid w:val="00F659FF"/>
    <w:rsid w:val="00F65B3E"/>
    <w:rsid w:val="00F70598"/>
    <w:rsid w:val="00F70F21"/>
    <w:rsid w:val="00F729E5"/>
    <w:rsid w:val="00F734F7"/>
    <w:rsid w:val="00F743EF"/>
    <w:rsid w:val="00F765CA"/>
    <w:rsid w:val="00F8180C"/>
    <w:rsid w:val="00F81BD7"/>
    <w:rsid w:val="00F82B9D"/>
    <w:rsid w:val="00F82E54"/>
    <w:rsid w:val="00F8553F"/>
    <w:rsid w:val="00F85A2D"/>
    <w:rsid w:val="00F86C29"/>
    <w:rsid w:val="00F86D45"/>
    <w:rsid w:val="00F879E1"/>
    <w:rsid w:val="00F87B08"/>
    <w:rsid w:val="00F945FA"/>
    <w:rsid w:val="00F958CF"/>
    <w:rsid w:val="00F96CD3"/>
    <w:rsid w:val="00F975BB"/>
    <w:rsid w:val="00FA06EA"/>
    <w:rsid w:val="00FA152F"/>
    <w:rsid w:val="00FA20A7"/>
    <w:rsid w:val="00FA40E9"/>
    <w:rsid w:val="00FA4FDF"/>
    <w:rsid w:val="00FA5010"/>
    <w:rsid w:val="00FA5A3A"/>
    <w:rsid w:val="00FA5F39"/>
    <w:rsid w:val="00FB0C7B"/>
    <w:rsid w:val="00FB155B"/>
    <w:rsid w:val="00FB18E7"/>
    <w:rsid w:val="00FB46DA"/>
    <w:rsid w:val="00FB638C"/>
    <w:rsid w:val="00FB76A7"/>
    <w:rsid w:val="00FB7FF4"/>
    <w:rsid w:val="00FC016E"/>
    <w:rsid w:val="00FC0D91"/>
    <w:rsid w:val="00FC0E8A"/>
    <w:rsid w:val="00FC5A50"/>
    <w:rsid w:val="00FC6361"/>
    <w:rsid w:val="00FD0943"/>
    <w:rsid w:val="00FD0AFC"/>
    <w:rsid w:val="00FD1BE8"/>
    <w:rsid w:val="00FD3F41"/>
    <w:rsid w:val="00FD4280"/>
    <w:rsid w:val="00FD4CB7"/>
    <w:rsid w:val="00FD61B2"/>
    <w:rsid w:val="00FD7904"/>
    <w:rsid w:val="00FD7F76"/>
    <w:rsid w:val="00FE27A7"/>
    <w:rsid w:val="00FE51BD"/>
    <w:rsid w:val="00FE572A"/>
    <w:rsid w:val="00FE65BE"/>
    <w:rsid w:val="00FE7380"/>
    <w:rsid w:val="00FF00B4"/>
    <w:rsid w:val="00FF1690"/>
    <w:rsid w:val="00FF441E"/>
    <w:rsid w:val="00FF5422"/>
    <w:rsid w:val="00FF743C"/>
    <w:rsid w:val="00FF7605"/>
    <w:rsid w:val="00FF7AAE"/>
    <w:rsid w:val="041614F2"/>
    <w:rsid w:val="30D86C3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qFormat="1" w:unhideWhenUsed="0" w:uiPriority="0" w:name="footnote text"/>
    <w:lsdException w:qFormat="1" w:unhideWhenUsed="0"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qFormat="1" w:unhideWhenUsed="0" w:uiPriority="0" w:name="footnote reference"/>
    <w:lsdException w:qFormat="1" w:unhideWhenUsed="0"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nhideWhenUsed="0" w:uiPriority="0" w:semiHidden="0" w:name="macro"/>
    <w:lsdException w:uiPriority="0" w:name="toa heading"/>
    <w:lsdException w:uiPriority="0" w:name="List"/>
    <w:lsdException w:unhideWhenUsed="0" w:uiPriority="0" w:semiHidden="0" w:name="List Bullet"/>
    <w:lsdException w:unhideWhenUsed="0" w:uiPriority="0" w:semiHidden="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iPriority="0" w:name="Document Map"/>
    <w:lsdException w:qFormat="1"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ro-RO" w:eastAsia="ro-RO" w:bidi="ar-SA"/>
    </w:rPr>
  </w:style>
  <w:style w:type="paragraph" w:styleId="2">
    <w:name w:val="heading 2"/>
    <w:basedOn w:val="1"/>
    <w:next w:val="1"/>
    <w:qFormat/>
    <w:uiPriority w:val="0"/>
    <w:pPr>
      <w:keepNext/>
      <w:spacing w:before="240" w:after="60"/>
      <w:outlineLvl w:val="1"/>
    </w:pPr>
    <w:rPr>
      <w:rFonts w:ascii="Arial" w:hAnsi="Arial" w:cs="Arial"/>
      <w:b/>
      <w:bCs/>
      <w:i/>
      <w:iCs/>
      <w:sz w:val="28"/>
      <w:szCs w:val="28"/>
    </w:rPr>
  </w:style>
  <w:style w:type="paragraph" w:styleId="3">
    <w:name w:val="heading 3"/>
    <w:basedOn w:val="1"/>
    <w:next w:val="1"/>
    <w:qFormat/>
    <w:uiPriority w:val="0"/>
    <w:pPr>
      <w:keepNext/>
      <w:suppressAutoHyphens/>
      <w:spacing w:before="240" w:after="60"/>
      <w:outlineLvl w:val="2"/>
    </w:pPr>
    <w:rPr>
      <w:rFonts w:ascii="Arial" w:hAnsi="Arial" w:cs="Arial"/>
      <w:b/>
      <w:bCs/>
      <w:sz w:val="26"/>
      <w:szCs w:val="26"/>
      <w:lang w:eastAsia="ar-SA"/>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6">
    <w:name w:val="Balloon Text"/>
    <w:basedOn w:val="1"/>
    <w:semiHidden/>
    <w:qFormat/>
    <w:uiPriority w:val="0"/>
    <w:rPr>
      <w:rFonts w:ascii="Tahoma" w:hAnsi="Tahoma" w:cs="Tahoma"/>
      <w:sz w:val="16"/>
      <w:szCs w:val="16"/>
    </w:rPr>
  </w:style>
  <w:style w:type="character" w:styleId="7">
    <w:name w:val="annotation reference"/>
    <w:semiHidden/>
    <w:qFormat/>
    <w:uiPriority w:val="0"/>
    <w:rPr>
      <w:sz w:val="16"/>
      <w:szCs w:val="16"/>
    </w:rPr>
  </w:style>
  <w:style w:type="paragraph" w:styleId="8">
    <w:name w:val="annotation text"/>
    <w:basedOn w:val="1"/>
    <w:semiHidden/>
    <w:qFormat/>
    <w:uiPriority w:val="0"/>
    <w:rPr>
      <w:sz w:val="20"/>
      <w:szCs w:val="20"/>
    </w:rPr>
  </w:style>
  <w:style w:type="paragraph" w:styleId="9">
    <w:name w:val="annotation subject"/>
    <w:basedOn w:val="8"/>
    <w:next w:val="8"/>
    <w:semiHidden/>
    <w:qFormat/>
    <w:uiPriority w:val="0"/>
    <w:rPr>
      <w:b/>
      <w:bCs/>
    </w:rPr>
  </w:style>
  <w:style w:type="character" w:styleId="10">
    <w:name w:val="FollowedHyperlink"/>
    <w:qFormat/>
    <w:uiPriority w:val="0"/>
    <w:rPr>
      <w:color w:val="800080"/>
      <w:u w:val="single"/>
    </w:rPr>
  </w:style>
  <w:style w:type="paragraph" w:styleId="11">
    <w:name w:val="footer"/>
    <w:basedOn w:val="1"/>
    <w:qFormat/>
    <w:uiPriority w:val="0"/>
    <w:pPr>
      <w:tabs>
        <w:tab w:val="center" w:pos="4536"/>
        <w:tab w:val="right" w:pos="9072"/>
      </w:tabs>
    </w:pPr>
  </w:style>
  <w:style w:type="character" w:styleId="12">
    <w:name w:val="footnote reference"/>
    <w:semiHidden/>
    <w:qFormat/>
    <w:uiPriority w:val="0"/>
    <w:rPr>
      <w:vertAlign w:val="superscript"/>
    </w:rPr>
  </w:style>
  <w:style w:type="paragraph" w:styleId="13">
    <w:name w:val="footnote text"/>
    <w:basedOn w:val="1"/>
    <w:semiHidden/>
    <w:qFormat/>
    <w:uiPriority w:val="0"/>
    <w:rPr>
      <w:sz w:val="20"/>
      <w:szCs w:val="20"/>
    </w:rPr>
  </w:style>
  <w:style w:type="paragraph" w:styleId="14">
    <w:name w:val="header"/>
    <w:basedOn w:val="1"/>
    <w:qFormat/>
    <w:uiPriority w:val="0"/>
    <w:pPr>
      <w:tabs>
        <w:tab w:val="center" w:pos="4536"/>
        <w:tab w:val="right" w:pos="9072"/>
      </w:tabs>
    </w:pPr>
  </w:style>
  <w:style w:type="character" w:styleId="15">
    <w:name w:val="Hyperlink"/>
    <w:qFormat/>
    <w:uiPriority w:val="0"/>
    <w:rPr>
      <w:color w:val="0000FF"/>
      <w:u w:val="single"/>
    </w:rPr>
  </w:style>
  <w:style w:type="character" w:styleId="16">
    <w:name w:val="page number"/>
    <w:basedOn w:val="4"/>
    <w:qFormat/>
    <w:uiPriority w:val="0"/>
  </w:style>
  <w:style w:type="paragraph" w:styleId="17">
    <w:name w:val="Plain Text"/>
    <w:basedOn w:val="1"/>
    <w:link w:val="28"/>
    <w:semiHidden/>
    <w:unhideWhenUsed/>
    <w:qFormat/>
    <w:uiPriority w:val="0"/>
    <w:rPr>
      <w:rFonts w:ascii="Consolas" w:hAnsi="Consolas" w:eastAsia="Calibri"/>
      <w:sz w:val="21"/>
      <w:szCs w:val="21"/>
      <w:lang w:val="en-US" w:eastAsia="en-US"/>
    </w:rPr>
  </w:style>
  <w:style w:type="character" w:styleId="18">
    <w:name w:val="Strong"/>
    <w:qFormat/>
    <w:uiPriority w:val="0"/>
    <w:rPr>
      <w:b/>
      <w:bCs/>
    </w:rPr>
  </w:style>
  <w:style w:type="table" w:styleId="19">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20">
    <w:name w:val="Title"/>
    <w:basedOn w:val="1"/>
    <w:qFormat/>
    <w:uiPriority w:val="0"/>
    <w:pPr>
      <w:jc w:val="center"/>
    </w:pPr>
    <w:rPr>
      <w:caps/>
      <w:sz w:val="32"/>
      <w:szCs w:val="20"/>
      <w:lang w:val="en-US" w:eastAsia="en-US"/>
    </w:rPr>
  </w:style>
  <w:style w:type="paragraph" w:customStyle="1" w:styleId="21">
    <w:name w:val="_Style 8"/>
    <w:basedOn w:val="1"/>
    <w:qFormat/>
    <w:uiPriority w:val="0"/>
    <w:rPr>
      <w:lang w:val="pl-PL" w:eastAsia="pl-PL"/>
    </w:rPr>
  </w:style>
  <w:style w:type="paragraph" w:customStyle="1" w:styleId="22">
    <w:name w:val="Char Char1 Caracter Caracter Char Char Caracter Caracter1 Char Char"/>
    <w:basedOn w:val="1"/>
    <w:qFormat/>
    <w:uiPriority w:val="0"/>
    <w:rPr>
      <w:lang w:val="pl-PL" w:eastAsia="pl-PL"/>
    </w:rPr>
  </w:style>
  <w:style w:type="character" w:customStyle="1" w:styleId="23">
    <w:name w:val="apple-style-span"/>
    <w:basedOn w:val="4"/>
    <w:qFormat/>
    <w:uiPriority w:val="0"/>
  </w:style>
  <w:style w:type="character" w:customStyle="1" w:styleId="24">
    <w:name w:val="apple-converted-space"/>
    <w:basedOn w:val="4"/>
    <w:qFormat/>
    <w:uiPriority w:val="0"/>
  </w:style>
  <w:style w:type="paragraph" w:customStyle="1" w:styleId="25">
    <w:name w:val="Odstavek seznama"/>
    <w:basedOn w:val="1"/>
    <w:qFormat/>
    <w:uiPriority w:val="0"/>
    <w:pPr>
      <w:ind w:left="708"/>
    </w:pPr>
    <w:rPr>
      <w:lang w:val="en-US" w:eastAsia="en-US"/>
    </w:rPr>
  </w:style>
  <w:style w:type="paragraph" w:customStyle="1" w:styleId="26">
    <w:name w:val="Listă paragraf"/>
    <w:basedOn w:val="1"/>
    <w:qFormat/>
    <w:uiPriority w:val="0"/>
    <w:pPr>
      <w:ind w:left="708"/>
    </w:pPr>
  </w:style>
  <w:style w:type="character" w:customStyle="1" w:styleId="27">
    <w:name w:val="hps"/>
    <w:basedOn w:val="4"/>
    <w:qFormat/>
    <w:uiPriority w:val="0"/>
  </w:style>
  <w:style w:type="character" w:customStyle="1" w:styleId="28">
    <w:name w:val="Plain Text Char"/>
    <w:link w:val="17"/>
    <w:semiHidden/>
    <w:qFormat/>
    <w:uiPriority w:val="0"/>
    <w:rPr>
      <w:rFonts w:ascii="Consolas" w:hAnsi="Consolas" w:eastAsia="Calibri"/>
      <w:sz w:val="21"/>
      <w:szCs w:val="21"/>
      <w:lang w:val="en-US" w:eastAsia="en-US" w:bidi="ar-SA"/>
    </w:rPr>
  </w:style>
  <w:style w:type="paragraph" w:styleId="29">
    <w:name w:val="List Paragraph"/>
    <w:basedOn w:val="1"/>
    <w:qFormat/>
    <w:uiPriority w:val="34"/>
    <w:pPr>
      <w:ind w:left="720"/>
      <w:contextualSpacing/>
    </w:pPr>
  </w:style>
  <w:style w:type="paragraph" w:customStyle="1" w:styleId="30">
    <w:name w:val="s_par1"/>
    <w:basedOn w:val="1"/>
    <w:qFormat/>
    <w:uiPriority w:val="0"/>
    <w:rPr>
      <w:rFonts w:ascii="Verdana" w:hAnsi="Verdana" w:eastAsiaTheme="minorEastAsia"/>
      <w:sz w:val="15"/>
      <w:szCs w:val="15"/>
      <w:lang w:val="en-US" w:eastAsia="en-US"/>
    </w:rPr>
  </w:style>
  <w:style w:type="character" w:customStyle="1" w:styleId="31">
    <w:name w:val="s_par4"/>
    <w:basedOn w:val="4"/>
    <w:qFormat/>
    <w:uiPriority w:val="0"/>
    <w:rPr>
      <w:rFonts w:hint="default" w:ascii="Verdana" w:hAnsi="Verdana"/>
      <w:color w:val="000000"/>
      <w:sz w:val="15"/>
      <w:szCs w:val="15"/>
      <w:shd w:val="clear" w:color="auto" w:fill="FFFFFF"/>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6BBBA8-043E-4C28-9693-0EB2C962AEF1}">
  <ds:schemaRefs/>
</ds:datastoreItem>
</file>

<file path=docProps/app.xml><?xml version="1.0" encoding="utf-8"?>
<Properties xmlns="http://schemas.openxmlformats.org/officeDocument/2006/extended-properties" xmlns:vt="http://schemas.openxmlformats.org/officeDocument/2006/docPropsVTypes">
  <Template>Normal</Template>
  <Company>mj</Company>
  <Pages>4</Pages>
  <Words>2037</Words>
  <Characters>11614</Characters>
  <Lines>96</Lines>
  <Paragraphs>27</Paragraphs>
  <TotalTime>132</TotalTime>
  <ScaleCrop>false</ScaleCrop>
  <LinksUpToDate>false</LinksUpToDate>
  <CharactersWithSpaces>13624</CharactersWithSpaces>
  <Application>WPS Office_11.2.0.11513_F1E327BC-269C-435d-A152-05C5408002CA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2023-02-27T10:16:00Z</dcterms:created>
  <dc:creator>dciortan</dc:creator>
  <cp:lastModifiedBy>pc</cp:lastModifiedBy>
  <cp:lastPrinted>2023-03-09T08:18:00Z</cp:lastPrinted>
  <dcterms:modified xsi:type="dcterms:W3CDTF">2023-03-20T09:19:58Z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1033-11.2.0.11513</vt:lpwstr>
  </property>
  <property fmtid="{D5CDD505-2E9C-101B-9397-08002B2CF9AE}" pid="3" name="ICV">
    <vt:lpwstr>3846057A69AC45B9BB131AF6F61D8AC7</vt:lpwstr>
  </property>
</Properties>
</file>